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84" w:rsidRDefault="008F7C84" w:rsidP="008F7C84">
      <w:pPr>
        <w:pStyle w:val="Header"/>
        <w:jc w:val="center"/>
        <w:rPr>
          <w:b/>
          <w:sz w:val="28"/>
        </w:rPr>
      </w:pPr>
      <w:r w:rsidRPr="007D08A9">
        <w:rPr>
          <w:noProof/>
        </w:rPr>
        <mc:AlternateContent>
          <mc:Choice Requires="wps">
            <w:drawing>
              <wp:anchor distT="0" distB="0" distL="114300" distR="114300" simplePos="0" relativeHeight="251659264" behindDoc="0" locked="0" layoutInCell="1" allowOverlap="1" wp14:anchorId="251EA178" wp14:editId="232536DC">
                <wp:simplePos x="0" y="0"/>
                <wp:positionH relativeFrom="column">
                  <wp:posOffset>-436880</wp:posOffset>
                </wp:positionH>
                <wp:positionV relativeFrom="paragraph">
                  <wp:posOffset>205105</wp:posOffset>
                </wp:positionV>
                <wp:extent cx="7741920"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7741920"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pt,16.15pt" to="575.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" strokecolor="#4a7ebb" strokeweight="2.25pt"/>
            </w:pict>
          </mc:Fallback>
        </mc:AlternateContent>
      </w:r>
      <w:r w:rsidRPr="00FA5DBC">
        <w:rPr>
          <w:b/>
          <w:sz w:val="28"/>
        </w:rPr>
        <w:t xml:space="preserve">Ideas and </w:t>
      </w:r>
      <w:r>
        <w:rPr>
          <w:b/>
          <w:sz w:val="28"/>
        </w:rPr>
        <w:t>S</w:t>
      </w:r>
      <w:r w:rsidRPr="00FA5DBC">
        <w:rPr>
          <w:b/>
          <w:sz w:val="28"/>
        </w:rPr>
        <w:t xml:space="preserve">trategies </w:t>
      </w:r>
      <w:r w:rsidR="002E7273">
        <w:rPr>
          <w:b/>
          <w:sz w:val="28"/>
        </w:rPr>
        <w:t>for</w:t>
      </w:r>
      <w:r w:rsidRPr="00FA5DBC">
        <w:rPr>
          <w:b/>
          <w:sz w:val="28"/>
        </w:rPr>
        <w:t xml:space="preserve"> </w:t>
      </w:r>
      <w:r>
        <w:rPr>
          <w:b/>
          <w:sz w:val="28"/>
        </w:rPr>
        <w:t>I</w:t>
      </w:r>
      <w:r w:rsidRPr="00FA5DBC">
        <w:rPr>
          <w:b/>
          <w:sz w:val="28"/>
        </w:rPr>
        <w:t xml:space="preserve">ncorporating </w:t>
      </w:r>
      <w:r w:rsidRPr="008F7C84">
        <w:rPr>
          <w:b/>
          <w:i/>
          <w:sz w:val="28"/>
        </w:rPr>
        <w:t>Foundations</w:t>
      </w:r>
      <w:r>
        <w:rPr>
          <w:rStyle w:val="FootnoteReference"/>
          <w:b/>
          <w:sz w:val="28"/>
        </w:rPr>
        <w:footnoteReference w:id="1"/>
      </w:r>
      <w:r>
        <w:rPr>
          <w:b/>
          <w:sz w:val="28"/>
        </w:rPr>
        <w:t xml:space="preserve"> </w:t>
      </w:r>
    </w:p>
    <w:p w:rsidR="008F7C84" w:rsidRPr="00FA5DBC" w:rsidRDefault="008F7C84" w:rsidP="008F7C84">
      <w:pPr>
        <w:pStyle w:val="Header"/>
        <w:jc w:val="center"/>
        <w:rPr>
          <w:b/>
          <w:sz w:val="28"/>
        </w:rPr>
      </w:pPr>
      <w:proofErr w:type="gramStart"/>
      <w:r>
        <w:rPr>
          <w:b/>
          <w:sz w:val="28"/>
        </w:rPr>
        <w:t>in</w:t>
      </w:r>
      <w:proofErr w:type="gramEnd"/>
      <w:r>
        <w:rPr>
          <w:b/>
          <w:sz w:val="28"/>
        </w:rPr>
        <w:t xml:space="preserve"> Introduction to Early Childhood Education</w:t>
      </w:r>
    </w:p>
    <w:p w:rsidR="008F7C84" w:rsidRPr="002E7273" w:rsidRDefault="008F7C84" w:rsidP="008F7C84">
      <w:pPr>
        <w:spacing w:after="0" w:line="240" w:lineRule="auto"/>
        <w:rPr>
          <w:sz w:val="16"/>
        </w:rPr>
      </w:pPr>
    </w:p>
    <w:p w:rsidR="009F5942" w:rsidRPr="00B17D5F" w:rsidRDefault="008F7C84" w:rsidP="008F7C84">
      <w:pPr>
        <w:spacing w:after="0" w:line="240" w:lineRule="auto"/>
        <w:rPr>
          <w:sz w:val="24"/>
        </w:rPr>
      </w:pPr>
      <w:r w:rsidRPr="00B17D5F">
        <w:rPr>
          <w:b/>
          <w:smallCaps/>
          <w:sz w:val="24"/>
        </w:rPr>
        <w:t xml:space="preserve">Hold a </w:t>
      </w:r>
      <w:r w:rsidR="009F5942" w:rsidRPr="00B17D5F">
        <w:rPr>
          <w:b/>
          <w:i/>
          <w:smallCaps/>
          <w:sz w:val="24"/>
        </w:rPr>
        <w:t>Foundations</w:t>
      </w:r>
      <w:r w:rsidR="009F5942" w:rsidRPr="00B17D5F">
        <w:rPr>
          <w:b/>
          <w:smallCaps/>
          <w:sz w:val="24"/>
        </w:rPr>
        <w:t xml:space="preserve"> Scavenger Hunt</w:t>
      </w:r>
      <w:r w:rsidR="009F5942" w:rsidRPr="00B17D5F">
        <w:rPr>
          <w:sz w:val="24"/>
        </w:rPr>
        <w:t xml:space="preserve"> to familiarize the students with the components of </w:t>
      </w:r>
      <w:r w:rsidR="009F5942" w:rsidRPr="00B17D5F">
        <w:rPr>
          <w:i/>
          <w:sz w:val="24"/>
        </w:rPr>
        <w:t>Foundations</w:t>
      </w:r>
      <w:r w:rsidRPr="00B17D5F">
        <w:rPr>
          <w:i/>
          <w:sz w:val="24"/>
        </w:rPr>
        <w:t xml:space="preserve">. </w:t>
      </w:r>
      <w:r w:rsidR="009F5942" w:rsidRPr="00B17D5F">
        <w:rPr>
          <w:sz w:val="24"/>
        </w:rPr>
        <w:t xml:space="preserve"> </w:t>
      </w:r>
      <w:r w:rsidR="00E72B62" w:rsidRPr="00B17D5F">
        <w:rPr>
          <w:sz w:val="24"/>
        </w:rPr>
        <w:t xml:space="preserve">Create a list of specific things to hunt for (e.g., the purpose of </w:t>
      </w:r>
      <w:r w:rsidR="00E72B62" w:rsidRPr="002E7273">
        <w:rPr>
          <w:i/>
          <w:sz w:val="24"/>
        </w:rPr>
        <w:t>Foundations</w:t>
      </w:r>
      <w:r w:rsidR="00E72B62" w:rsidRPr="00B17D5F">
        <w:rPr>
          <w:sz w:val="24"/>
        </w:rPr>
        <w:t>, guidance for supporting dual language learners, strategies for supporting the social connections of infants and toddlers, etc.). Ask students to identify the page on which that information may be found.</w:t>
      </w:r>
    </w:p>
    <w:p w:rsidR="00E72B62" w:rsidRPr="002E7273" w:rsidRDefault="00E72B62" w:rsidP="008F7C84">
      <w:pPr>
        <w:spacing w:after="0" w:line="240" w:lineRule="auto"/>
        <w:rPr>
          <w:sz w:val="16"/>
        </w:rPr>
      </w:pPr>
    </w:p>
    <w:p w:rsidR="00E72B62" w:rsidRPr="00B17D5F" w:rsidRDefault="00E72B62" w:rsidP="00E72B62">
      <w:pPr>
        <w:spacing w:after="0" w:line="240" w:lineRule="auto"/>
        <w:rPr>
          <w:sz w:val="24"/>
        </w:rPr>
      </w:pPr>
      <w:proofErr w:type="gramStart"/>
      <w:r w:rsidRPr="00B17D5F">
        <w:rPr>
          <w:b/>
          <w:smallCaps/>
          <w:sz w:val="24"/>
        </w:rPr>
        <w:t>Major Milestones</w:t>
      </w:r>
      <w:r w:rsidRPr="00B17D5F">
        <w:rPr>
          <w:sz w:val="24"/>
        </w:rPr>
        <w:t>.</w:t>
      </w:r>
      <w:proofErr w:type="gramEnd"/>
      <w:r w:rsidRPr="00B17D5F">
        <w:rPr>
          <w:sz w:val="24"/>
        </w:rPr>
        <w:t xml:space="preserve"> Using </w:t>
      </w:r>
      <w:r w:rsidRPr="00B17D5F">
        <w:rPr>
          <w:i/>
          <w:sz w:val="24"/>
        </w:rPr>
        <w:t>Foundations</w:t>
      </w:r>
      <w:r w:rsidRPr="00B17D5F">
        <w:rPr>
          <w:sz w:val="24"/>
        </w:rPr>
        <w:t>, compile a list of ten major milestones for children birth to five (e.g., age at which we might expect children to feed themselves with utensils independently, age at which we might expect children to take responsibility for the care of living things, like independently watering plants when they are dry). Ask students to identify the page on which that information may be found.</w:t>
      </w:r>
    </w:p>
    <w:p w:rsidR="00E72B62" w:rsidRPr="002E7273" w:rsidRDefault="00E72B62" w:rsidP="008F7C84">
      <w:pPr>
        <w:spacing w:after="0" w:line="240" w:lineRule="auto"/>
        <w:rPr>
          <w:sz w:val="16"/>
        </w:rPr>
      </w:pPr>
    </w:p>
    <w:p w:rsidR="00E72B62" w:rsidRPr="00535334" w:rsidRDefault="00E72B62" w:rsidP="008F7C84">
      <w:pPr>
        <w:spacing w:after="0" w:line="240" w:lineRule="auto"/>
        <w:rPr>
          <w:b/>
          <w:smallCaps/>
          <w:sz w:val="24"/>
        </w:rPr>
      </w:pPr>
      <w:r w:rsidRPr="00535334">
        <w:rPr>
          <w:b/>
          <w:smallCaps/>
          <w:sz w:val="24"/>
        </w:rPr>
        <w:t xml:space="preserve">Do You See </w:t>
      </w:r>
      <w:r w:rsidRPr="00535334">
        <w:rPr>
          <w:b/>
          <w:i/>
          <w:smallCaps/>
          <w:sz w:val="24"/>
        </w:rPr>
        <w:t>Foundations</w:t>
      </w:r>
      <w:r w:rsidRPr="00535334">
        <w:rPr>
          <w:b/>
          <w:smallCaps/>
          <w:sz w:val="24"/>
        </w:rPr>
        <w:t>?</w:t>
      </w:r>
    </w:p>
    <w:p w:rsidR="00E72B62" w:rsidRDefault="00E72B62" w:rsidP="00B17D5F">
      <w:pPr>
        <w:pStyle w:val="ListParagraph"/>
        <w:numPr>
          <w:ilvl w:val="0"/>
          <w:numId w:val="1"/>
        </w:numPr>
        <w:spacing w:after="0" w:line="240" w:lineRule="auto"/>
        <w:rPr>
          <w:rFonts w:ascii="Calibri" w:eastAsia="Times New Roman" w:hAnsi="Calibri" w:cs="Arial"/>
          <w:color w:val="000000"/>
          <w:sz w:val="24"/>
        </w:rPr>
      </w:pPr>
      <w:r>
        <w:rPr>
          <w:rFonts w:ascii="Calibri" w:eastAsia="Times New Roman" w:hAnsi="Calibri" w:cs="Arial"/>
          <w:color w:val="000000"/>
          <w:sz w:val="24"/>
        </w:rPr>
        <w:t xml:space="preserve">Create a simple chart to use as an observation tool (see below). </w:t>
      </w:r>
      <w:r w:rsidR="00B17D5F">
        <w:rPr>
          <w:rFonts w:ascii="Calibri" w:eastAsia="Times New Roman" w:hAnsi="Calibri" w:cs="Arial"/>
          <w:color w:val="000000"/>
          <w:sz w:val="24"/>
        </w:rPr>
        <w:t xml:space="preserve">After covering the basic organization and content of </w:t>
      </w:r>
      <w:r w:rsidR="00B17D5F" w:rsidRPr="00B17D5F">
        <w:rPr>
          <w:rFonts w:ascii="Calibri" w:eastAsia="Times New Roman" w:hAnsi="Calibri" w:cs="Arial"/>
          <w:i/>
          <w:color w:val="000000"/>
          <w:sz w:val="24"/>
        </w:rPr>
        <w:t>Foundations</w:t>
      </w:r>
      <w:r w:rsidR="00B17D5F">
        <w:rPr>
          <w:rFonts w:ascii="Calibri" w:eastAsia="Times New Roman" w:hAnsi="Calibri" w:cs="Arial"/>
          <w:color w:val="000000"/>
          <w:sz w:val="24"/>
        </w:rPr>
        <w:t xml:space="preserve">, ask students to watch several video clips of young children, and to note what they see in each domain of development. It may be helpful to ask students to first watch one or two domains, then work up to </w:t>
      </w:r>
      <w:r w:rsidR="002E7273">
        <w:rPr>
          <w:rFonts w:ascii="Calibri" w:eastAsia="Times New Roman" w:hAnsi="Calibri" w:cs="Arial"/>
          <w:color w:val="000000"/>
          <w:sz w:val="24"/>
        </w:rPr>
        <w:t>looking for all domains. For on-</w:t>
      </w:r>
      <w:r w:rsidR="00B17D5F">
        <w:rPr>
          <w:rFonts w:ascii="Calibri" w:eastAsia="Times New Roman" w:hAnsi="Calibri" w:cs="Arial"/>
          <w:color w:val="000000"/>
          <w:sz w:val="24"/>
        </w:rPr>
        <w:t xml:space="preserve">ground courses, debrief after each video clip to make </w:t>
      </w:r>
      <w:bookmarkStart w:id="0" w:name="_GoBack"/>
      <w:r w:rsidR="00B17D5F">
        <w:rPr>
          <w:rFonts w:ascii="Calibri" w:eastAsia="Times New Roman" w:hAnsi="Calibri" w:cs="Arial"/>
          <w:color w:val="000000"/>
          <w:sz w:val="24"/>
        </w:rPr>
        <w:t xml:space="preserve">certain that students are becoming familiar with each domain, noticing what you want them to see, and using objective language to describe what they see. For online courses, ask pairs of students to watch the </w:t>
      </w:r>
      <w:bookmarkEnd w:id="0"/>
      <w:r w:rsidR="00B17D5F">
        <w:rPr>
          <w:rFonts w:ascii="Calibri" w:eastAsia="Times New Roman" w:hAnsi="Calibri" w:cs="Arial"/>
          <w:color w:val="000000"/>
          <w:sz w:val="24"/>
        </w:rPr>
        <w:t xml:space="preserve">same clips, and then compare notes. Ask that they submit their observations so you can monitor the areas mentioned above. One excellent source for clips to use in this activity is the observation section of the Results Matter Video Library </w:t>
      </w:r>
      <w:r w:rsidR="00B17D5F" w:rsidRPr="002E7273">
        <w:rPr>
          <w:rFonts w:ascii="Calibri" w:eastAsia="Times New Roman" w:hAnsi="Calibri" w:cs="Arial"/>
          <w:color w:val="000000"/>
          <w:sz w:val="20"/>
          <w:szCs w:val="20"/>
        </w:rPr>
        <w:t>(</w:t>
      </w:r>
      <w:hyperlink r:id="rId9" w:history="1">
        <w:r w:rsidR="00B17D5F" w:rsidRPr="00F50AE2">
          <w:rPr>
            <w:rStyle w:val="Hyperlink"/>
            <w:rFonts w:ascii="Calibri" w:eastAsia="Times New Roman" w:hAnsi="Calibri" w:cs="Arial"/>
            <w:b/>
            <w:sz w:val="20"/>
            <w:szCs w:val="20"/>
            <w:u w:val="none"/>
          </w:rPr>
          <w:t>http://www.cde.state.co.us/resultsmatter/RMVideoSeries_PracticingObservation</w:t>
        </w:r>
      </w:hyperlink>
      <w:r w:rsidR="00B17D5F" w:rsidRPr="002E7273">
        <w:rPr>
          <w:rFonts w:ascii="Calibri" w:eastAsia="Times New Roman" w:hAnsi="Calibri" w:cs="Arial"/>
          <w:color w:val="000000"/>
          <w:sz w:val="20"/>
          <w:szCs w:val="20"/>
        </w:rPr>
        <w:t>)</w:t>
      </w:r>
      <w:r w:rsidR="00535334" w:rsidRPr="002E7273">
        <w:rPr>
          <w:rFonts w:ascii="Calibri" w:eastAsia="Times New Roman" w:hAnsi="Calibri" w:cs="Arial"/>
          <w:color w:val="000000"/>
          <w:sz w:val="20"/>
          <w:szCs w:val="20"/>
        </w:rPr>
        <w:t>.</w:t>
      </w:r>
      <w:r w:rsidR="00B17D5F" w:rsidRPr="002E7273">
        <w:rPr>
          <w:rFonts w:ascii="Calibri" w:eastAsia="Times New Roman" w:hAnsi="Calibri" w:cs="Arial"/>
          <w:color w:val="000000"/>
          <w:sz w:val="20"/>
          <w:szCs w:val="20"/>
        </w:rPr>
        <w:t xml:space="preserve"> </w:t>
      </w:r>
    </w:p>
    <w:p w:rsidR="00E72B62" w:rsidRPr="002E7273" w:rsidRDefault="00E72B62" w:rsidP="00E72B62">
      <w:pPr>
        <w:pStyle w:val="ListParagraph"/>
        <w:spacing w:after="0" w:line="240" w:lineRule="auto"/>
        <w:ind w:left="360"/>
        <w:rPr>
          <w:rFonts w:ascii="Calibri" w:eastAsia="Times New Roman" w:hAnsi="Calibri" w:cs="Arial"/>
          <w:color w:val="000000"/>
          <w:sz w:val="16"/>
        </w:rPr>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398"/>
      </w:tblGrid>
      <w:tr w:rsidR="00E72B62" w:rsidTr="00B17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none" w:sz="0" w:space="0" w:color="auto"/>
              <w:left w:val="none" w:sz="0" w:space="0" w:color="auto"/>
              <w:bottom w:val="none" w:sz="0" w:space="0" w:color="auto"/>
              <w:right w:val="none" w:sz="0" w:space="0" w:color="auto"/>
            </w:tcBorders>
          </w:tcPr>
          <w:p w:rsidR="00E72B62" w:rsidRDefault="00E72B62" w:rsidP="00B17D5F">
            <w:pPr>
              <w:pStyle w:val="ListParagraph"/>
              <w:ind w:left="0"/>
              <w:jc w:val="center"/>
              <w:rPr>
                <w:rFonts w:ascii="Calibri" w:eastAsia="Times New Roman" w:hAnsi="Calibri" w:cs="Arial"/>
                <w:color w:val="000000"/>
                <w:sz w:val="24"/>
              </w:rPr>
            </w:pPr>
            <w:r>
              <w:rPr>
                <w:rFonts w:ascii="Calibri" w:eastAsia="Times New Roman" w:hAnsi="Calibri" w:cs="Arial"/>
                <w:color w:val="000000"/>
                <w:sz w:val="24"/>
              </w:rPr>
              <w:t>Domain</w:t>
            </w:r>
          </w:p>
        </w:tc>
        <w:tc>
          <w:tcPr>
            <w:tcW w:w="7398" w:type="dxa"/>
            <w:tcBorders>
              <w:top w:val="none" w:sz="0" w:space="0" w:color="auto"/>
              <w:left w:val="none" w:sz="0" w:space="0" w:color="auto"/>
              <w:bottom w:val="none" w:sz="0" w:space="0" w:color="auto"/>
              <w:right w:val="none" w:sz="0" w:space="0" w:color="auto"/>
            </w:tcBorders>
          </w:tcPr>
          <w:p w:rsidR="00E72B62" w:rsidRDefault="00E72B62" w:rsidP="00B17D5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24"/>
              </w:rPr>
            </w:pPr>
            <w:r>
              <w:rPr>
                <w:rFonts w:ascii="Calibri" w:eastAsia="Times New Roman" w:hAnsi="Calibri" w:cs="Arial"/>
                <w:color w:val="000000"/>
                <w:sz w:val="24"/>
              </w:rPr>
              <w:t>What Do You See?</w:t>
            </w:r>
          </w:p>
        </w:tc>
      </w:tr>
      <w:tr w:rsidR="00E72B62" w:rsidTr="002E7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left w:val="none" w:sz="0" w:space="0" w:color="auto"/>
              <w:right w:val="none" w:sz="0" w:space="0" w:color="auto"/>
            </w:tcBorders>
            <w:vAlign w:val="center"/>
          </w:tcPr>
          <w:p w:rsidR="002E7273" w:rsidRPr="00B17D5F" w:rsidRDefault="00B17D5F" w:rsidP="002E7273">
            <w:pPr>
              <w:pStyle w:val="ListParagraph"/>
              <w:ind w:left="0"/>
              <w:jc w:val="center"/>
              <w:rPr>
                <w:rFonts w:ascii="Calibri" w:eastAsia="Times New Roman" w:hAnsi="Calibri" w:cs="Arial"/>
                <w:color w:val="000000"/>
              </w:rPr>
            </w:pPr>
            <w:r w:rsidRPr="00B17D5F">
              <w:rPr>
                <w:rFonts w:ascii="Calibri" w:eastAsia="Times New Roman" w:hAnsi="Calibri" w:cs="Arial"/>
                <w:color w:val="000000"/>
              </w:rPr>
              <w:t>Approaches to Play and Learning</w:t>
            </w:r>
          </w:p>
        </w:tc>
        <w:tc>
          <w:tcPr>
            <w:tcW w:w="7398" w:type="dxa"/>
            <w:tcBorders>
              <w:left w:val="none" w:sz="0" w:space="0" w:color="auto"/>
              <w:right w:val="none" w:sz="0" w:space="0" w:color="auto"/>
            </w:tcBorders>
          </w:tcPr>
          <w:p w:rsidR="00E72B62" w:rsidRDefault="00E72B62" w:rsidP="00E72B62">
            <w:pPr>
              <w:pStyle w:val="ListParagraph"/>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4"/>
              </w:rPr>
            </w:pPr>
          </w:p>
          <w:p w:rsidR="002E7273" w:rsidRDefault="002E7273" w:rsidP="00E72B62">
            <w:pPr>
              <w:pStyle w:val="ListParagraph"/>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4"/>
              </w:rPr>
            </w:pPr>
          </w:p>
        </w:tc>
      </w:tr>
      <w:tr w:rsidR="00E72B62" w:rsidTr="002E7273">
        <w:tc>
          <w:tcPr>
            <w:cnfStyle w:val="001000000000" w:firstRow="0" w:lastRow="0" w:firstColumn="1" w:lastColumn="0" w:oddVBand="0" w:evenVBand="0" w:oddHBand="0" w:evenHBand="0" w:firstRowFirstColumn="0" w:firstRowLastColumn="0" w:lastRowFirstColumn="0" w:lastRowLastColumn="0"/>
            <w:tcW w:w="3258" w:type="dxa"/>
            <w:vAlign w:val="center"/>
          </w:tcPr>
          <w:p w:rsidR="002E7273" w:rsidRPr="00B17D5F" w:rsidRDefault="00B17D5F" w:rsidP="002E7273">
            <w:pPr>
              <w:pStyle w:val="ListParagraph"/>
              <w:ind w:left="0"/>
              <w:jc w:val="center"/>
              <w:rPr>
                <w:rFonts w:ascii="Calibri" w:eastAsia="Times New Roman" w:hAnsi="Calibri" w:cs="Arial"/>
                <w:color w:val="000000"/>
              </w:rPr>
            </w:pPr>
            <w:r>
              <w:rPr>
                <w:rFonts w:ascii="Calibri" w:eastAsia="Times New Roman" w:hAnsi="Calibri" w:cs="Arial"/>
                <w:color w:val="000000"/>
              </w:rPr>
              <w:t>Emotional &amp; Social Development</w:t>
            </w:r>
          </w:p>
        </w:tc>
        <w:tc>
          <w:tcPr>
            <w:tcW w:w="7398" w:type="dxa"/>
          </w:tcPr>
          <w:p w:rsidR="00E72B62" w:rsidRDefault="00E72B62" w:rsidP="00E72B62">
            <w:pPr>
              <w:pStyle w:val="ListParagraph"/>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4"/>
              </w:rPr>
            </w:pPr>
          </w:p>
          <w:p w:rsidR="002E7273" w:rsidRDefault="002E7273" w:rsidP="00E72B62">
            <w:pPr>
              <w:pStyle w:val="ListParagraph"/>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4"/>
              </w:rPr>
            </w:pPr>
          </w:p>
        </w:tc>
      </w:tr>
      <w:tr w:rsidR="00E72B62" w:rsidTr="002E7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left w:val="none" w:sz="0" w:space="0" w:color="auto"/>
              <w:right w:val="none" w:sz="0" w:space="0" w:color="auto"/>
            </w:tcBorders>
            <w:vAlign w:val="center"/>
          </w:tcPr>
          <w:p w:rsidR="002E7273" w:rsidRPr="00B17D5F" w:rsidRDefault="00B17D5F" w:rsidP="002E7273">
            <w:pPr>
              <w:pStyle w:val="ListParagraph"/>
              <w:ind w:left="0"/>
              <w:jc w:val="center"/>
              <w:rPr>
                <w:rFonts w:ascii="Calibri" w:eastAsia="Times New Roman" w:hAnsi="Calibri" w:cs="Arial"/>
                <w:color w:val="000000"/>
              </w:rPr>
            </w:pPr>
            <w:r>
              <w:rPr>
                <w:rFonts w:ascii="Calibri" w:eastAsia="Times New Roman" w:hAnsi="Calibri" w:cs="Arial"/>
                <w:color w:val="000000"/>
              </w:rPr>
              <w:t>Health &amp; Physical Development</w:t>
            </w:r>
          </w:p>
        </w:tc>
        <w:tc>
          <w:tcPr>
            <w:tcW w:w="7398" w:type="dxa"/>
            <w:tcBorders>
              <w:left w:val="none" w:sz="0" w:space="0" w:color="auto"/>
              <w:right w:val="none" w:sz="0" w:space="0" w:color="auto"/>
            </w:tcBorders>
          </w:tcPr>
          <w:p w:rsidR="00E72B62" w:rsidRDefault="00E72B62" w:rsidP="00E72B62">
            <w:pPr>
              <w:pStyle w:val="ListParagraph"/>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4"/>
              </w:rPr>
            </w:pPr>
          </w:p>
          <w:p w:rsidR="002E7273" w:rsidRDefault="002E7273" w:rsidP="00E72B62">
            <w:pPr>
              <w:pStyle w:val="ListParagraph"/>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4"/>
              </w:rPr>
            </w:pPr>
          </w:p>
        </w:tc>
      </w:tr>
      <w:tr w:rsidR="00E72B62" w:rsidTr="002E7273">
        <w:tc>
          <w:tcPr>
            <w:cnfStyle w:val="001000000000" w:firstRow="0" w:lastRow="0" w:firstColumn="1" w:lastColumn="0" w:oddVBand="0" w:evenVBand="0" w:oddHBand="0" w:evenHBand="0" w:firstRowFirstColumn="0" w:firstRowLastColumn="0" w:lastRowFirstColumn="0" w:lastRowLastColumn="0"/>
            <w:tcW w:w="3258" w:type="dxa"/>
            <w:vAlign w:val="center"/>
          </w:tcPr>
          <w:p w:rsidR="00E72B62" w:rsidRPr="00B17D5F" w:rsidRDefault="00B17D5F" w:rsidP="002E7273">
            <w:pPr>
              <w:pStyle w:val="ListParagraph"/>
              <w:ind w:left="0"/>
              <w:jc w:val="center"/>
              <w:rPr>
                <w:rFonts w:ascii="Calibri" w:eastAsia="Times New Roman" w:hAnsi="Calibri" w:cs="Arial"/>
                <w:color w:val="000000"/>
              </w:rPr>
            </w:pPr>
            <w:r>
              <w:rPr>
                <w:rFonts w:ascii="Calibri" w:eastAsia="Times New Roman" w:hAnsi="Calibri" w:cs="Arial"/>
                <w:color w:val="000000"/>
              </w:rPr>
              <w:t>Language Development &amp; Communication</w:t>
            </w:r>
          </w:p>
        </w:tc>
        <w:tc>
          <w:tcPr>
            <w:tcW w:w="7398" w:type="dxa"/>
          </w:tcPr>
          <w:p w:rsidR="00E72B62" w:rsidRDefault="00E72B62" w:rsidP="00E72B62">
            <w:pPr>
              <w:pStyle w:val="ListParagraph"/>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4"/>
              </w:rPr>
            </w:pPr>
          </w:p>
        </w:tc>
      </w:tr>
      <w:tr w:rsidR="00E72B62" w:rsidTr="002E7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left w:val="none" w:sz="0" w:space="0" w:color="auto"/>
              <w:right w:val="none" w:sz="0" w:space="0" w:color="auto"/>
            </w:tcBorders>
            <w:vAlign w:val="center"/>
          </w:tcPr>
          <w:p w:rsidR="002E7273" w:rsidRPr="00B17D5F" w:rsidRDefault="00B17D5F" w:rsidP="002E7273">
            <w:pPr>
              <w:pStyle w:val="ListParagraph"/>
              <w:ind w:left="0"/>
              <w:jc w:val="center"/>
              <w:rPr>
                <w:rFonts w:ascii="Calibri" w:eastAsia="Times New Roman" w:hAnsi="Calibri" w:cs="Arial"/>
                <w:color w:val="000000"/>
              </w:rPr>
            </w:pPr>
            <w:r>
              <w:rPr>
                <w:rFonts w:ascii="Calibri" w:eastAsia="Times New Roman" w:hAnsi="Calibri" w:cs="Arial"/>
                <w:color w:val="000000"/>
              </w:rPr>
              <w:t>Cognitive Development</w:t>
            </w:r>
          </w:p>
        </w:tc>
        <w:tc>
          <w:tcPr>
            <w:tcW w:w="7398" w:type="dxa"/>
            <w:tcBorders>
              <w:left w:val="none" w:sz="0" w:space="0" w:color="auto"/>
              <w:right w:val="none" w:sz="0" w:space="0" w:color="auto"/>
            </w:tcBorders>
          </w:tcPr>
          <w:p w:rsidR="00E72B62" w:rsidRDefault="00E72B62" w:rsidP="00E72B62">
            <w:pPr>
              <w:pStyle w:val="ListParagraph"/>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4"/>
              </w:rPr>
            </w:pPr>
          </w:p>
          <w:p w:rsidR="002E7273" w:rsidRDefault="002E7273" w:rsidP="00E72B62">
            <w:pPr>
              <w:pStyle w:val="ListParagraph"/>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4"/>
              </w:rPr>
            </w:pPr>
          </w:p>
        </w:tc>
      </w:tr>
    </w:tbl>
    <w:p w:rsidR="00E72B62" w:rsidRPr="002E7273" w:rsidRDefault="00E72B62" w:rsidP="00E72B62">
      <w:pPr>
        <w:pStyle w:val="ListParagraph"/>
        <w:spacing w:after="0" w:line="240" w:lineRule="auto"/>
        <w:ind w:left="360"/>
        <w:rPr>
          <w:rFonts w:ascii="Calibri" w:eastAsia="Times New Roman" w:hAnsi="Calibri" w:cs="Arial"/>
          <w:color w:val="000000"/>
          <w:sz w:val="16"/>
        </w:rPr>
      </w:pPr>
    </w:p>
    <w:p w:rsidR="009F5942" w:rsidRPr="00B17D5F" w:rsidRDefault="00B17D5F" w:rsidP="00B17D5F">
      <w:pPr>
        <w:pStyle w:val="ListParagraph"/>
        <w:numPr>
          <w:ilvl w:val="0"/>
          <w:numId w:val="1"/>
        </w:numPr>
        <w:spacing w:after="0" w:line="240" w:lineRule="auto"/>
        <w:rPr>
          <w:sz w:val="24"/>
        </w:rPr>
      </w:pPr>
      <w:r>
        <w:rPr>
          <w:sz w:val="24"/>
        </w:rPr>
        <w:t xml:space="preserve">One step harder than watching video clips (which you can rewind and watch again) is watching real children. </w:t>
      </w:r>
      <w:r w:rsidRPr="00B17D5F">
        <w:rPr>
          <w:sz w:val="24"/>
        </w:rPr>
        <w:t xml:space="preserve">Ask </w:t>
      </w:r>
      <w:r>
        <w:rPr>
          <w:sz w:val="24"/>
        </w:rPr>
        <w:t xml:space="preserve">students to use the same chart (above) while observing one child for at least 20 minutes. </w:t>
      </w:r>
      <w:r w:rsidR="009C4580">
        <w:rPr>
          <w:sz w:val="24"/>
        </w:rPr>
        <w:t>Consider pairing students up to read each other’s observations, monitoring for subjective statements. One expectation of this assignment is that students would re-state an</w:t>
      </w:r>
      <w:r w:rsidR="002E7273">
        <w:rPr>
          <w:sz w:val="24"/>
        </w:rPr>
        <w:t>y</w:t>
      </w:r>
      <w:r w:rsidR="009C4580">
        <w:rPr>
          <w:sz w:val="24"/>
        </w:rPr>
        <w:t xml:space="preserve"> subjective statements that their partner found in objective terms before turning the assignment in.</w:t>
      </w:r>
    </w:p>
    <w:p w:rsidR="00A54F55" w:rsidRDefault="00A54F55" w:rsidP="008F7C84">
      <w:pPr>
        <w:spacing w:after="0" w:line="240" w:lineRule="auto"/>
      </w:pPr>
    </w:p>
    <w:sectPr w:rsidR="00A54F55" w:rsidSect="007D08A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E9" w:rsidRDefault="00A96AE9" w:rsidP="00FA5DBC">
      <w:pPr>
        <w:spacing w:after="0" w:line="240" w:lineRule="auto"/>
      </w:pPr>
      <w:r>
        <w:separator/>
      </w:r>
    </w:p>
  </w:endnote>
  <w:endnote w:type="continuationSeparator" w:id="0">
    <w:p w:rsidR="00A96AE9" w:rsidRDefault="00A96AE9" w:rsidP="00FA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73" w:rsidRDefault="002E7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BC" w:rsidRDefault="007D08A9">
    <w:pPr>
      <w:pStyle w:val="Footer"/>
    </w:pPr>
    <w:r w:rsidRPr="007D08A9">
      <w:rPr>
        <w:noProof/>
      </w:rPr>
      <w:drawing>
        <wp:anchor distT="0" distB="0" distL="114300" distR="114300" simplePos="0" relativeHeight="251661312" behindDoc="1" locked="0" layoutInCell="1" allowOverlap="1" wp14:anchorId="3CA8620E" wp14:editId="22C6917F">
          <wp:simplePos x="0" y="0"/>
          <wp:positionH relativeFrom="column">
            <wp:posOffset>6573520</wp:posOffset>
          </wp:positionH>
          <wp:positionV relativeFrom="paragraph">
            <wp:posOffset>88265</wp:posOffset>
          </wp:positionV>
          <wp:extent cx="629920" cy="438150"/>
          <wp:effectExtent l="0" t="0" r="0" b="0"/>
          <wp:wrapThrough wrapText="bothSides">
            <wp:wrapPolygon edited="0">
              <wp:start x="0" y="0"/>
              <wp:lineTo x="0" y="20661"/>
              <wp:lineTo x="20903" y="20661"/>
              <wp:lineTo x="20903" y="0"/>
              <wp:lineTo x="0" y="0"/>
            </wp:wrapPolygon>
          </wp:wrapThrough>
          <wp:docPr id="3" name="Picture 2" descr="P:\SCRIPT_NC\Logos and graphics\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SCRIPT_NC\Logos and graphics\id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438150"/>
                  </a:xfrm>
                  <a:prstGeom prst="rect">
                    <a:avLst/>
                  </a:prstGeom>
                  <a:noFill/>
                  <a:extLst/>
                </pic:spPr>
              </pic:pic>
            </a:graphicData>
          </a:graphic>
          <wp14:sizeRelH relativeFrom="page">
            <wp14:pctWidth>0</wp14:pctWidth>
          </wp14:sizeRelH>
          <wp14:sizeRelV relativeFrom="page">
            <wp14:pctHeight>0</wp14:pctHeight>
          </wp14:sizeRelV>
        </wp:anchor>
      </w:drawing>
    </w:r>
    <w:r w:rsidRPr="007D08A9">
      <w:rPr>
        <w:noProof/>
      </w:rPr>
      <mc:AlternateContent>
        <mc:Choice Requires="wps">
          <w:drawing>
            <wp:anchor distT="0" distB="0" distL="114300" distR="114300" simplePos="0" relativeHeight="251662336" behindDoc="0" locked="0" layoutInCell="1" allowOverlap="1" wp14:anchorId="36C889E2" wp14:editId="465E6749">
              <wp:simplePos x="0" y="0"/>
              <wp:positionH relativeFrom="column">
                <wp:posOffset>-436880</wp:posOffset>
              </wp:positionH>
              <wp:positionV relativeFrom="paragraph">
                <wp:posOffset>8255</wp:posOffset>
              </wp:positionV>
              <wp:extent cx="7741920" cy="0"/>
              <wp:effectExtent l="0" t="19050" r="11430" b="19050"/>
              <wp:wrapNone/>
              <wp:docPr id="34" name="Straight Connector 34"/>
              <wp:cNvGraphicFramePr/>
              <a:graphic xmlns:a="http://schemas.openxmlformats.org/drawingml/2006/main">
                <a:graphicData uri="http://schemas.microsoft.com/office/word/2010/wordprocessingShape">
                  <wps:wsp>
                    <wps:cNvCnPr/>
                    <wps:spPr>
                      <a:xfrm>
                        <a:off x="0" y="0"/>
                        <a:ext cx="77419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912172D" id="Straight Connector 3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4pt,.65pt" to="57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" strokecolor="#4579b8 [3044]" strokeweight="2.25pt"/>
          </w:pict>
        </mc:Fallback>
      </mc:AlternateContent>
    </w:r>
    <w:r w:rsidR="00FA5DBC" w:rsidRPr="00FA5DBC">
      <w:rPr>
        <w:noProof/>
      </w:rPr>
      <w:drawing>
        <wp:anchor distT="0" distB="0" distL="114300" distR="114300" simplePos="0" relativeHeight="251659264" behindDoc="0" locked="0" layoutInCell="1" allowOverlap="1" wp14:anchorId="2EAD4099" wp14:editId="479408B2">
          <wp:simplePos x="0" y="0"/>
          <wp:positionH relativeFrom="column">
            <wp:posOffset>-314960</wp:posOffset>
          </wp:positionH>
          <wp:positionV relativeFrom="paragraph">
            <wp:posOffset>73025</wp:posOffset>
          </wp:positionV>
          <wp:extent cx="2586446" cy="402336"/>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6446" cy="402336"/>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73" w:rsidRDefault="002E7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E9" w:rsidRDefault="00A96AE9" w:rsidP="00FA5DBC">
      <w:pPr>
        <w:spacing w:after="0" w:line="240" w:lineRule="auto"/>
      </w:pPr>
      <w:r>
        <w:separator/>
      </w:r>
    </w:p>
  </w:footnote>
  <w:footnote w:type="continuationSeparator" w:id="0">
    <w:p w:rsidR="00A96AE9" w:rsidRDefault="00A96AE9" w:rsidP="00FA5DBC">
      <w:pPr>
        <w:spacing w:after="0" w:line="240" w:lineRule="auto"/>
      </w:pPr>
      <w:r>
        <w:continuationSeparator/>
      </w:r>
    </w:p>
  </w:footnote>
  <w:footnote w:id="1">
    <w:p w:rsidR="009C4580" w:rsidRDefault="008F7C84">
      <w:pPr>
        <w:pStyle w:val="FootnoteText"/>
      </w:pPr>
      <w:r>
        <w:rPr>
          <w:rStyle w:val="FootnoteReference"/>
        </w:rPr>
        <w:footnoteRef/>
      </w:r>
      <w:r>
        <w:t xml:space="preserve"> </w:t>
      </w:r>
      <w:proofErr w:type="gramStart"/>
      <w:r w:rsidRPr="008F7C84">
        <w:rPr>
          <w:i/>
        </w:rPr>
        <w:t>Foundations</w:t>
      </w:r>
      <w:r>
        <w:t xml:space="preserve"> is</w:t>
      </w:r>
      <w:proofErr w:type="gramEnd"/>
      <w:r>
        <w:t xml:space="preserve"> the North Carolina resource “that describes children’s development and learning from birth to age five.” </w:t>
      </w:r>
      <w:r w:rsidR="009C4580">
        <w:t xml:space="preserve">Please </w:t>
      </w:r>
      <w:r>
        <w:t xml:space="preserve">adjust the activities and assignments to incorporate the use of </w:t>
      </w:r>
      <w:r w:rsidR="002E7273">
        <w:t>your state’s</w:t>
      </w:r>
      <w:r>
        <w:t xml:space="preserve"> early learning guidelines/standards. </w:t>
      </w:r>
      <w:proofErr w:type="gramStart"/>
      <w:r>
        <w:t xml:space="preserve">Retrieved from </w:t>
      </w:r>
      <w:hyperlink r:id="rId1" w:history="1">
        <w:r w:rsidRPr="002E7273">
          <w:rPr>
            <w:rStyle w:val="Hyperlink"/>
            <w:b/>
            <w:u w:val="none"/>
          </w:rPr>
          <w:t>http://ncchildcare.nc.gov/pdf_forms/NC_foundations.pdf</w:t>
        </w:r>
      </w:hyperlink>
      <w:r>
        <w:t xml:space="preserve"> (page </w:t>
      </w:r>
      <w:r w:rsidRPr="009C4580">
        <w:rPr>
          <w:i/>
        </w:rPr>
        <w:t>v</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73" w:rsidRDefault="002E7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84" w:rsidRPr="008F7C84" w:rsidRDefault="00FA5DBC" w:rsidP="008F7C84">
    <w:pPr>
      <w:pStyle w:val="Header"/>
      <w:jc w:val="center"/>
    </w:pPr>
    <w:r w:rsidRPr="00FA5DBC">
      <w:rPr>
        <w:noProof/>
      </w:rPr>
      <w:drawing>
        <wp:inline distT="0" distB="0" distL="0" distR="0" wp14:anchorId="5F518680" wp14:editId="55A1D655">
          <wp:extent cx="2423160" cy="7098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09862"/>
                  </a:xfrm>
                  <a:prstGeom prst="rect">
                    <a:avLst/>
                  </a:prstGeom>
                  <a:noFill/>
                  <a:ln w="9525">
                    <a:noFill/>
                    <a:miter lim="800000"/>
                    <a:headEnd/>
                    <a:tailEnd/>
                  </a:ln>
                  <a:effectLs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73" w:rsidRDefault="002E7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305A0"/>
    <w:multiLevelType w:val="hybridMultilevel"/>
    <w:tmpl w:val="550C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BC"/>
    <w:rsid w:val="000D7B26"/>
    <w:rsid w:val="002832A3"/>
    <w:rsid w:val="002E7273"/>
    <w:rsid w:val="00535334"/>
    <w:rsid w:val="00571697"/>
    <w:rsid w:val="00594854"/>
    <w:rsid w:val="006956E1"/>
    <w:rsid w:val="007D08A9"/>
    <w:rsid w:val="008F7C84"/>
    <w:rsid w:val="009C4580"/>
    <w:rsid w:val="009F5942"/>
    <w:rsid w:val="00A54F55"/>
    <w:rsid w:val="00A96AE9"/>
    <w:rsid w:val="00B17D5F"/>
    <w:rsid w:val="00C90C13"/>
    <w:rsid w:val="00E72B62"/>
    <w:rsid w:val="00F50AE2"/>
    <w:rsid w:val="00FA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DBC"/>
  </w:style>
  <w:style w:type="paragraph" w:styleId="Footer">
    <w:name w:val="footer"/>
    <w:basedOn w:val="Normal"/>
    <w:link w:val="FooterChar"/>
    <w:uiPriority w:val="99"/>
    <w:unhideWhenUsed/>
    <w:rsid w:val="00FA5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DBC"/>
  </w:style>
  <w:style w:type="paragraph" w:styleId="NormalWeb">
    <w:name w:val="Normal (Web)"/>
    <w:basedOn w:val="Normal"/>
    <w:uiPriority w:val="99"/>
    <w:semiHidden/>
    <w:unhideWhenUsed/>
    <w:rsid w:val="00FA5DB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A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DBC"/>
    <w:rPr>
      <w:rFonts w:ascii="Tahoma" w:hAnsi="Tahoma" w:cs="Tahoma"/>
      <w:sz w:val="16"/>
      <w:szCs w:val="16"/>
    </w:rPr>
  </w:style>
  <w:style w:type="character" w:customStyle="1" w:styleId="Heading1Char">
    <w:name w:val="Heading 1 Char"/>
    <w:basedOn w:val="DefaultParagraphFont"/>
    <w:link w:val="Heading1"/>
    <w:uiPriority w:val="9"/>
    <w:rsid w:val="00A54F55"/>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A54F55"/>
  </w:style>
  <w:style w:type="paragraph" w:styleId="FootnoteText">
    <w:name w:val="footnote text"/>
    <w:basedOn w:val="Normal"/>
    <w:link w:val="FootnoteTextChar"/>
    <w:uiPriority w:val="99"/>
    <w:semiHidden/>
    <w:unhideWhenUsed/>
    <w:rsid w:val="008F7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C84"/>
    <w:rPr>
      <w:sz w:val="20"/>
      <w:szCs w:val="20"/>
    </w:rPr>
  </w:style>
  <w:style w:type="character" w:styleId="FootnoteReference">
    <w:name w:val="footnote reference"/>
    <w:basedOn w:val="DefaultParagraphFont"/>
    <w:uiPriority w:val="99"/>
    <w:semiHidden/>
    <w:unhideWhenUsed/>
    <w:rsid w:val="008F7C84"/>
    <w:rPr>
      <w:vertAlign w:val="superscript"/>
    </w:rPr>
  </w:style>
  <w:style w:type="character" w:styleId="Hyperlink">
    <w:name w:val="Hyperlink"/>
    <w:basedOn w:val="DefaultParagraphFont"/>
    <w:uiPriority w:val="99"/>
    <w:unhideWhenUsed/>
    <w:rsid w:val="008F7C84"/>
    <w:rPr>
      <w:color w:val="0000FF" w:themeColor="hyperlink"/>
      <w:u w:val="single"/>
    </w:rPr>
  </w:style>
  <w:style w:type="paragraph" w:styleId="ListParagraph">
    <w:name w:val="List Paragraph"/>
    <w:basedOn w:val="Normal"/>
    <w:uiPriority w:val="34"/>
    <w:qFormat/>
    <w:rsid w:val="00E72B62"/>
    <w:pPr>
      <w:ind w:left="720"/>
      <w:contextualSpacing/>
    </w:pPr>
  </w:style>
  <w:style w:type="table" w:styleId="TableGrid">
    <w:name w:val="Table Grid"/>
    <w:basedOn w:val="TableNormal"/>
    <w:uiPriority w:val="59"/>
    <w:rsid w:val="00E72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7D5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DBC"/>
  </w:style>
  <w:style w:type="paragraph" w:styleId="Footer">
    <w:name w:val="footer"/>
    <w:basedOn w:val="Normal"/>
    <w:link w:val="FooterChar"/>
    <w:uiPriority w:val="99"/>
    <w:unhideWhenUsed/>
    <w:rsid w:val="00FA5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DBC"/>
  </w:style>
  <w:style w:type="paragraph" w:styleId="NormalWeb">
    <w:name w:val="Normal (Web)"/>
    <w:basedOn w:val="Normal"/>
    <w:uiPriority w:val="99"/>
    <w:semiHidden/>
    <w:unhideWhenUsed/>
    <w:rsid w:val="00FA5DB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A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DBC"/>
    <w:rPr>
      <w:rFonts w:ascii="Tahoma" w:hAnsi="Tahoma" w:cs="Tahoma"/>
      <w:sz w:val="16"/>
      <w:szCs w:val="16"/>
    </w:rPr>
  </w:style>
  <w:style w:type="character" w:customStyle="1" w:styleId="Heading1Char">
    <w:name w:val="Heading 1 Char"/>
    <w:basedOn w:val="DefaultParagraphFont"/>
    <w:link w:val="Heading1"/>
    <w:uiPriority w:val="9"/>
    <w:rsid w:val="00A54F55"/>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A54F55"/>
  </w:style>
  <w:style w:type="paragraph" w:styleId="FootnoteText">
    <w:name w:val="footnote text"/>
    <w:basedOn w:val="Normal"/>
    <w:link w:val="FootnoteTextChar"/>
    <w:uiPriority w:val="99"/>
    <w:semiHidden/>
    <w:unhideWhenUsed/>
    <w:rsid w:val="008F7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C84"/>
    <w:rPr>
      <w:sz w:val="20"/>
      <w:szCs w:val="20"/>
    </w:rPr>
  </w:style>
  <w:style w:type="character" w:styleId="FootnoteReference">
    <w:name w:val="footnote reference"/>
    <w:basedOn w:val="DefaultParagraphFont"/>
    <w:uiPriority w:val="99"/>
    <w:semiHidden/>
    <w:unhideWhenUsed/>
    <w:rsid w:val="008F7C84"/>
    <w:rPr>
      <w:vertAlign w:val="superscript"/>
    </w:rPr>
  </w:style>
  <w:style w:type="character" w:styleId="Hyperlink">
    <w:name w:val="Hyperlink"/>
    <w:basedOn w:val="DefaultParagraphFont"/>
    <w:uiPriority w:val="99"/>
    <w:unhideWhenUsed/>
    <w:rsid w:val="008F7C84"/>
    <w:rPr>
      <w:color w:val="0000FF" w:themeColor="hyperlink"/>
      <w:u w:val="single"/>
    </w:rPr>
  </w:style>
  <w:style w:type="paragraph" w:styleId="ListParagraph">
    <w:name w:val="List Paragraph"/>
    <w:basedOn w:val="Normal"/>
    <w:uiPriority w:val="34"/>
    <w:qFormat/>
    <w:rsid w:val="00E72B62"/>
    <w:pPr>
      <w:ind w:left="720"/>
      <w:contextualSpacing/>
    </w:pPr>
  </w:style>
  <w:style w:type="table" w:styleId="TableGrid">
    <w:name w:val="Table Grid"/>
    <w:basedOn w:val="TableNormal"/>
    <w:uiPriority w:val="59"/>
    <w:rsid w:val="00E72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7D5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0543">
      <w:bodyDiv w:val="1"/>
      <w:marLeft w:val="0"/>
      <w:marRight w:val="0"/>
      <w:marTop w:val="0"/>
      <w:marBottom w:val="0"/>
      <w:divBdr>
        <w:top w:val="none" w:sz="0" w:space="0" w:color="auto"/>
        <w:left w:val="none" w:sz="0" w:space="0" w:color="auto"/>
        <w:bottom w:val="none" w:sz="0" w:space="0" w:color="auto"/>
        <w:right w:val="none" w:sz="0" w:space="0" w:color="auto"/>
      </w:divBdr>
    </w:div>
    <w:div w:id="14873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e.state.co.us/resultsmatter/RMVideoSeries_PracticingObservatio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ncchildcare.nc.gov/pdf_forms/NC_founda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B75B-9851-471F-AB58-DA261AD3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5</cp:revision>
  <cp:lastPrinted>2015-01-27T17:11:00Z</cp:lastPrinted>
  <dcterms:created xsi:type="dcterms:W3CDTF">2015-01-26T19:35:00Z</dcterms:created>
  <dcterms:modified xsi:type="dcterms:W3CDTF">2015-01-27T17:19:00Z</dcterms:modified>
</cp:coreProperties>
</file>