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A3" w:rsidRDefault="002832A3"/>
    <w:p w:rsidR="00F04C64" w:rsidRPr="00DF6C38" w:rsidRDefault="00835746" w:rsidP="00F04C64">
      <w:pPr>
        <w:rPr>
          <w:rFonts w:eastAsia="Times New Roman" w:cs="Times New Roman"/>
          <w:sz w:val="24"/>
          <w:szCs w:val="30"/>
        </w:rPr>
      </w:pPr>
      <w:r w:rsidRPr="00835746">
        <w:rPr>
          <w:rFonts w:eastAsia="Times New Roman" w:cs="Times New Roman"/>
          <w:b/>
          <w:smallCaps/>
          <w:sz w:val="24"/>
          <w:szCs w:val="30"/>
        </w:rPr>
        <w:t>What is F</w:t>
      </w:r>
      <w:r w:rsidRPr="00DF6C38">
        <w:rPr>
          <w:rFonts w:eastAsia="Times New Roman" w:cs="Times New Roman"/>
          <w:b/>
          <w:smallCaps/>
          <w:sz w:val="24"/>
          <w:szCs w:val="30"/>
        </w:rPr>
        <w:t>ormative Assessment</w:t>
      </w:r>
      <w:r w:rsidRPr="00835746">
        <w:rPr>
          <w:rFonts w:eastAsia="Times New Roman" w:cs="Times New Roman"/>
          <w:sz w:val="24"/>
          <w:szCs w:val="30"/>
        </w:rPr>
        <w:t>?</w:t>
      </w:r>
      <w:r>
        <w:rPr>
          <w:rFonts w:eastAsia="Times New Roman" w:cs="Times New Roman"/>
          <w:sz w:val="24"/>
          <w:szCs w:val="30"/>
        </w:rPr>
        <w:t xml:space="preserve"> </w:t>
      </w:r>
      <w:r w:rsidR="00387DA8">
        <w:rPr>
          <w:rFonts w:eastAsia="Times New Roman" w:cs="Times New Roman"/>
          <w:sz w:val="24"/>
          <w:szCs w:val="30"/>
        </w:rPr>
        <w:t xml:space="preserve">Introduce and discuss the concept of formative assessment. </w:t>
      </w:r>
      <w:r w:rsidR="0014075C">
        <w:rPr>
          <w:rFonts w:eastAsia="Times New Roman" w:cs="Times New Roman"/>
          <w:sz w:val="24"/>
          <w:szCs w:val="30"/>
        </w:rPr>
        <w:t xml:space="preserve">Then </w:t>
      </w:r>
      <w:r w:rsidR="0014075C" w:rsidRPr="00387DA8">
        <w:rPr>
          <w:sz w:val="24"/>
        </w:rPr>
        <w:t>ask</w:t>
      </w:r>
      <w:r w:rsidR="00387DA8" w:rsidRPr="00387DA8">
        <w:rPr>
          <w:sz w:val="24"/>
        </w:rPr>
        <w:t xml:space="preserve"> students to find their state’s definition of formative assessment online.</w:t>
      </w:r>
      <w:r w:rsidR="00F04C64">
        <w:rPr>
          <w:sz w:val="24"/>
        </w:rPr>
        <w:t xml:space="preserve"> </w:t>
      </w:r>
      <w:r w:rsidR="00F04C64">
        <w:rPr>
          <w:rFonts w:eastAsia="Times New Roman" w:cs="Times New Roman"/>
          <w:sz w:val="24"/>
          <w:szCs w:val="30"/>
        </w:rPr>
        <w:t xml:space="preserve">For example, the North Carolina Division of Child Development and Early </w:t>
      </w:r>
      <w:r w:rsidR="008E5E03">
        <w:rPr>
          <w:rFonts w:eastAsia="Times New Roman" w:cs="Times New Roman"/>
          <w:sz w:val="24"/>
          <w:szCs w:val="30"/>
        </w:rPr>
        <w:t>Education</w:t>
      </w:r>
      <w:r w:rsidR="00F04C64">
        <w:rPr>
          <w:rFonts w:eastAsia="Times New Roman" w:cs="Times New Roman"/>
          <w:sz w:val="24"/>
          <w:szCs w:val="30"/>
        </w:rPr>
        <w:t xml:space="preserve"> </w:t>
      </w:r>
      <w:proofErr w:type="gramStart"/>
      <w:r w:rsidR="00F04C64">
        <w:rPr>
          <w:rFonts w:eastAsia="Times New Roman" w:cs="Times New Roman"/>
          <w:sz w:val="24"/>
          <w:szCs w:val="30"/>
        </w:rPr>
        <w:t>defines</w:t>
      </w:r>
      <w:proofErr w:type="gramEnd"/>
      <w:r w:rsidR="00F04C64">
        <w:rPr>
          <w:rFonts w:eastAsia="Times New Roman" w:cs="Times New Roman"/>
          <w:sz w:val="24"/>
          <w:szCs w:val="30"/>
        </w:rPr>
        <w:t xml:space="preserve"> formative assessment as</w:t>
      </w:r>
      <w:r w:rsidR="00F04C64" w:rsidRPr="00DF6C38">
        <w:rPr>
          <w:rFonts w:eastAsia="Times New Roman" w:cs="Times New Roman"/>
          <w:sz w:val="24"/>
          <w:szCs w:val="30"/>
        </w:rPr>
        <w:t xml:space="preserve"> </w:t>
      </w:r>
      <w:r w:rsidR="00F04C64">
        <w:rPr>
          <w:rFonts w:eastAsia="Times New Roman" w:cs="Times New Roman"/>
          <w:sz w:val="24"/>
          <w:szCs w:val="30"/>
        </w:rPr>
        <w:t>“</w:t>
      </w:r>
      <w:r w:rsidR="00F04C64" w:rsidRPr="00DF6C38">
        <w:rPr>
          <w:rFonts w:eastAsia="Times New Roman" w:cs="Times New Roman"/>
          <w:sz w:val="24"/>
          <w:szCs w:val="30"/>
        </w:rPr>
        <w:t xml:space="preserve">systematic ongoing procedure to document, monitor and evaluate children’s progress, and plan appropriate learning experiences by: </w:t>
      </w:r>
    </w:p>
    <w:p w:rsidR="00F04C64" w:rsidRPr="00835746" w:rsidRDefault="00F04C64" w:rsidP="00F04C64">
      <w:pPr>
        <w:pStyle w:val="ListParagraph"/>
        <w:numPr>
          <w:ilvl w:val="0"/>
          <w:numId w:val="1"/>
        </w:numPr>
        <w:rPr>
          <w:rFonts w:eastAsia="Times New Roman" w:cs="Times New Roman"/>
          <w:sz w:val="24"/>
          <w:szCs w:val="30"/>
        </w:rPr>
      </w:pPr>
      <w:bookmarkStart w:id="0" w:name="_GoBack"/>
      <w:r w:rsidRPr="00835746">
        <w:rPr>
          <w:rFonts w:eastAsia="Times New Roman" w:cs="Times New Roman"/>
          <w:sz w:val="24"/>
          <w:szCs w:val="30"/>
        </w:rPr>
        <w:t>Observing, documenting and evaluati</w:t>
      </w:r>
      <w:r w:rsidRPr="00DF6C38">
        <w:rPr>
          <w:rFonts w:eastAsia="Times New Roman" w:cs="Times New Roman"/>
          <w:sz w:val="24"/>
          <w:szCs w:val="30"/>
        </w:rPr>
        <w:t>ng all children’s development, knowledge, skills, behaviors, strengths,</w:t>
      </w:r>
      <w:r w:rsidRPr="00835746">
        <w:rPr>
          <w:rFonts w:eastAsia="Times New Roman" w:cs="Times New Roman"/>
          <w:sz w:val="24"/>
          <w:szCs w:val="30"/>
        </w:rPr>
        <w:t xml:space="preserve"> </w:t>
      </w:r>
      <w:r w:rsidRPr="00DF6C38">
        <w:rPr>
          <w:rFonts w:eastAsia="Times New Roman" w:cs="Times New Roman"/>
          <w:sz w:val="24"/>
          <w:szCs w:val="30"/>
        </w:rPr>
        <w:t xml:space="preserve">needs and interests in all areas defined in </w:t>
      </w:r>
      <w:r w:rsidRPr="00DF6C38">
        <w:rPr>
          <w:rFonts w:eastAsia="Times New Roman" w:cs="Times New Roman"/>
          <w:i/>
          <w:sz w:val="24"/>
          <w:szCs w:val="30"/>
        </w:rPr>
        <w:t>North Carolina</w:t>
      </w:r>
      <w:r w:rsidRPr="000017A3">
        <w:rPr>
          <w:rFonts w:eastAsia="Times New Roman" w:cs="Times New Roman"/>
          <w:i/>
          <w:sz w:val="24"/>
          <w:szCs w:val="30"/>
        </w:rPr>
        <w:t xml:space="preserve"> </w:t>
      </w:r>
      <w:r w:rsidRPr="00DF6C38">
        <w:rPr>
          <w:rFonts w:eastAsia="Times New Roman" w:cs="Times New Roman"/>
          <w:i/>
          <w:sz w:val="24"/>
          <w:szCs w:val="30"/>
        </w:rPr>
        <w:t>Foundations</w:t>
      </w:r>
      <w:r w:rsidRPr="000017A3">
        <w:rPr>
          <w:rFonts w:eastAsia="Times New Roman" w:cs="Times New Roman"/>
          <w:i/>
          <w:sz w:val="24"/>
          <w:szCs w:val="30"/>
        </w:rPr>
        <w:t xml:space="preserve"> </w:t>
      </w:r>
      <w:r w:rsidRPr="00DF6C38">
        <w:rPr>
          <w:rFonts w:eastAsia="Times New Roman" w:cs="Times New Roman"/>
          <w:i/>
          <w:sz w:val="24"/>
          <w:szCs w:val="30"/>
        </w:rPr>
        <w:t>for Early Learning and Development</w:t>
      </w:r>
      <w:r w:rsidRPr="00DF6C38">
        <w:rPr>
          <w:rFonts w:eastAsia="Times New Roman" w:cs="Times New Roman"/>
          <w:sz w:val="24"/>
          <w:szCs w:val="30"/>
        </w:rPr>
        <w:t xml:space="preserve">; </w:t>
      </w:r>
    </w:p>
    <w:p w:rsidR="00F04C64" w:rsidRPr="00DF6C38" w:rsidRDefault="00F04C64" w:rsidP="00F04C64">
      <w:pPr>
        <w:pStyle w:val="ListParagraph"/>
        <w:numPr>
          <w:ilvl w:val="0"/>
          <w:numId w:val="1"/>
        </w:numPr>
        <w:rPr>
          <w:rFonts w:eastAsia="Times New Roman" w:cs="Times New Roman"/>
          <w:sz w:val="24"/>
          <w:szCs w:val="30"/>
        </w:rPr>
      </w:pPr>
      <w:r w:rsidRPr="00835746">
        <w:rPr>
          <w:rFonts w:eastAsia="Times New Roman" w:cs="Times New Roman"/>
          <w:sz w:val="24"/>
          <w:szCs w:val="30"/>
        </w:rPr>
        <w:t>Providing opportunity for communicati</w:t>
      </w:r>
      <w:r w:rsidRPr="00DF6C38">
        <w:rPr>
          <w:rFonts w:eastAsia="Times New Roman" w:cs="Times New Roman"/>
          <w:sz w:val="24"/>
          <w:szCs w:val="30"/>
        </w:rPr>
        <w:t xml:space="preserve">on and collaboration with families, teachers, and service providers regarding children’s interests, development, and learning; </w:t>
      </w:r>
      <w:r w:rsidRPr="00835746">
        <w:rPr>
          <w:rFonts w:eastAsia="Times New Roman" w:cs="Times New Roman"/>
          <w:sz w:val="24"/>
          <w:szCs w:val="30"/>
        </w:rPr>
        <w:t xml:space="preserve">and </w:t>
      </w:r>
    </w:p>
    <w:p w:rsidR="00F04C64" w:rsidRPr="00DF6C38" w:rsidRDefault="00F04C64" w:rsidP="00F04C64">
      <w:pPr>
        <w:pStyle w:val="ListParagraph"/>
        <w:numPr>
          <w:ilvl w:val="0"/>
          <w:numId w:val="1"/>
        </w:numPr>
        <w:rPr>
          <w:rFonts w:eastAsia="Times New Roman" w:cs="Times New Roman"/>
          <w:sz w:val="24"/>
          <w:szCs w:val="30"/>
        </w:rPr>
      </w:pPr>
      <w:r w:rsidRPr="00835746">
        <w:rPr>
          <w:rFonts w:eastAsia="Times New Roman" w:cs="Times New Roman"/>
          <w:sz w:val="24"/>
          <w:szCs w:val="30"/>
        </w:rPr>
        <w:t xml:space="preserve">Providing data that teachers can use to </w:t>
      </w:r>
      <w:r w:rsidRPr="00DF6C38">
        <w:rPr>
          <w:rFonts w:eastAsia="Times New Roman" w:cs="Times New Roman"/>
          <w:sz w:val="24"/>
          <w:szCs w:val="30"/>
        </w:rPr>
        <w:t>systematically plan and evaluate learning experiences and teaching practices based on documentation of the learning and development of a diverse group of children.</w:t>
      </w:r>
      <w:r>
        <w:rPr>
          <w:rFonts w:eastAsia="Times New Roman" w:cs="Times New Roman"/>
          <w:sz w:val="24"/>
          <w:szCs w:val="30"/>
        </w:rPr>
        <w:t>”</w:t>
      </w:r>
      <w:r w:rsidRPr="00835746">
        <w:rPr>
          <w:rStyle w:val="FootnoteReference"/>
          <w:rFonts w:eastAsia="Times New Roman" w:cs="Times New Roman"/>
          <w:sz w:val="24"/>
          <w:szCs w:val="30"/>
        </w:rPr>
        <w:footnoteReference w:id="1"/>
      </w:r>
      <w:r w:rsidRPr="00DF6C38">
        <w:rPr>
          <w:rFonts w:eastAsia="Times New Roman" w:cs="Times New Roman"/>
          <w:sz w:val="24"/>
          <w:szCs w:val="30"/>
        </w:rPr>
        <w:t xml:space="preserve"> </w:t>
      </w:r>
    </w:p>
    <w:bookmarkEnd w:id="0"/>
    <w:p w:rsidR="00387DA8" w:rsidRDefault="00387DA8"/>
    <w:p w:rsidR="00387DA8" w:rsidRDefault="00387DA8">
      <w:pPr>
        <w:rPr>
          <w:sz w:val="24"/>
          <w:szCs w:val="24"/>
        </w:rPr>
      </w:pPr>
      <w:r w:rsidRPr="00387DA8">
        <w:rPr>
          <w:rFonts w:eastAsia="Times New Roman" w:cs="Times New Roman"/>
          <w:b/>
          <w:smallCaps/>
          <w:sz w:val="24"/>
          <w:szCs w:val="24"/>
        </w:rPr>
        <w:t xml:space="preserve">Read </w:t>
      </w:r>
      <w:r>
        <w:rPr>
          <w:rFonts w:eastAsia="Times New Roman" w:cs="Times New Roman"/>
          <w:b/>
          <w:smallCaps/>
          <w:sz w:val="24"/>
          <w:szCs w:val="24"/>
        </w:rPr>
        <w:t>and Discuss</w:t>
      </w:r>
      <w:r w:rsidRPr="00387DA8">
        <w:rPr>
          <w:rFonts w:eastAsia="Times New Roman" w:cs="Times New Roman"/>
          <w:b/>
          <w:smallCaps/>
          <w:sz w:val="24"/>
          <w:szCs w:val="24"/>
        </w:rPr>
        <w:t>.</w:t>
      </w:r>
      <w:r w:rsidRPr="00387DA8">
        <w:rPr>
          <w:sz w:val="24"/>
          <w:szCs w:val="24"/>
        </w:rPr>
        <w:t xml:space="preserve"> Ask students to read an article about formative assessment (here’s one example: </w:t>
      </w:r>
      <w:hyperlink r:id="rId9" w:history="1">
        <w:r w:rsidRPr="00387DA8">
          <w:rPr>
            <w:rStyle w:val="Hyperlink"/>
            <w:b/>
            <w:sz w:val="24"/>
            <w:szCs w:val="24"/>
            <w:u w:val="none"/>
          </w:rPr>
          <w:t>http://ceelo.org/wp-content/uploads/2014/04/ceelo_policy_report_formative_assessment.pdf</w:t>
        </w:r>
      </w:hyperlink>
      <w:r>
        <w:rPr>
          <w:sz w:val="24"/>
          <w:szCs w:val="24"/>
        </w:rPr>
        <w:t>). Follow up with a forum discussion of the ways in which the formative assessment process differs from taking tests.</w:t>
      </w:r>
    </w:p>
    <w:p w:rsidR="00387DA8" w:rsidRDefault="00387DA8">
      <w:pPr>
        <w:rPr>
          <w:sz w:val="24"/>
          <w:szCs w:val="24"/>
        </w:rPr>
      </w:pPr>
    </w:p>
    <w:p w:rsidR="000017A3" w:rsidRDefault="0014075C">
      <w:pPr>
        <w:rPr>
          <w:sz w:val="24"/>
          <w:szCs w:val="24"/>
        </w:rPr>
      </w:pPr>
      <w:proofErr w:type="gramStart"/>
      <w:r>
        <w:rPr>
          <w:rFonts w:eastAsia="Times New Roman" w:cs="Times New Roman"/>
          <w:b/>
          <w:smallCaps/>
          <w:sz w:val="24"/>
          <w:szCs w:val="24"/>
        </w:rPr>
        <w:t>Yea</w:t>
      </w:r>
      <w:r w:rsidR="000017A3">
        <w:rPr>
          <w:rFonts w:eastAsia="Times New Roman" w:cs="Times New Roman"/>
          <w:b/>
          <w:smallCaps/>
          <w:sz w:val="24"/>
          <w:szCs w:val="24"/>
        </w:rPr>
        <w:t xml:space="preserve">, Nay, and </w:t>
      </w:r>
      <w:r w:rsidR="00F04C64">
        <w:rPr>
          <w:rFonts w:eastAsia="Times New Roman" w:cs="Times New Roman"/>
          <w:b/>
          <w:smallCaps/>
          <w:sz w:val="24"/>
          <w:szCs w:val="24"/>
        </w:rPr>
        <w:t>What</w:t>
      </w:r>
      <w:r w:rsidR="000017A3">
        <w:rPr>
          <w:sz w:val="24"/>
          <w:szCs w:val="24"/>
        </w:rPr>
        <w:t>.</w:t>
      </w:r>
      <w:proofErr w:type="gramEnd"/>
      <w:r w:rsidR="000017A3">
        <w:rPr>
          <w:sz w:val="24"/>
          <w:szCs w:val="24"/>
        </w:rPr>
        <w:t xml:space="preserve"> Create a list of activities commonly engaged in by early childhood </w:t>
      </w:r>
      <w:r w:rsidR="00F04C64">
        <w:rPr>
          <w:sz w:val="24"/>
          <w:szCs w:val="24"/>
        </w:rPr>
        <w:t>teacher</w:t>
      </w:r>
      <w:r w:rsidR="000017A3">
        <w:rPr>
          <w:sz w:val="24"/>
          <w:szCs w:val="24"/>
        </w:rPr>
        <w:t>s</w:t>
      </w:r>
      <w:r w:rsidR="00F04C64">
        <w:rPr>
          <w:sz w:val="24"/>
          <w:szCs w:val="24"/>
        </w:rPr>
        <w:t xml:space="preserve"> and other professionals</w:t>
      </w:r>
      <w:r w:rsidR="000017A3">
        <w:rPr>
          <w:sz w:val="24"/>
          <w:szCs w:val="24"/>
        </w:rPr>
        <w:t xml:space="preserve">. Ask students to indicate whether each activity might be considered part of formative assessment, or not. </w:t>
      </w:r>
      <w:r w:rsidR="00F04C64">
        <w:rPr>
          <w:sz w:val="24"/>
          <w:szCs w:val="24"/>
        </w:rPr>
        <w:t xml:space="preserve">For activities that </w:t>
      </w:r>
      <w:r w:rsidR="00F04C64" w:rsidRPr="00F04C64">
        <w:rPr>
          <w:b/>
          <w:sz w:val="24"/>
          <w:szCs w:val="24"/>
        </w:rPr>
        <w:t>are</w:t>
      </w:r>
      <w:r w:rsidR="00F04C64">
        <w:rPr>
          <w:sz w:val="24"/>
          <w:szCs w:val="24"/>
        </w:rPr>
        <w:t xml:space="preserve"> part of formative assessment, ask students to indicate what they could learn from each activity they identified as part of formative assessment.</w:t>
      </w:r>
    </w:p>
    <w:p w:rsidR="000017A3" w:rsidRDefault="000017A3">
      <w:pPr>
        <w:rPr>
          <w:sz w:val="24"/>
          <w:szCs w:val="24"/>
        </w:rPr>
      </w:pPr>
    </w:p>
    <w:tbl>
      <w:tblPr>
        <w:tblStyle w:val="TableGrid"/>
        <w:tblW w:w="0" w:type="auto"/>
        <w:tblLook w:val="04A0" w:firstRow="1" w:lastRow="0" w:firstColumn="1" w:lastColumn="0" w:noHBand="0" w:noVBand="1"/>
      </w:tblPr>
      <w:tblGrid>
        <w:gridCol w:w="3672"/>
        <w:gridCol w:w="828"/>
        <w:gridCol w:w="828"/>
        <w:gridCol w:w="5688"/>
      </w:tblGrid>
      <w:tr w:rsidR="00F04C64" w:rsidRPr="00F04C64" w:rsidTr="00F04C64">
        <w:trPr>
          <w:trHeight w:val="438"/>
        </w:trPr>
        <w:tc>
          <w:tcPr>
            <w:tcW w:w="3672" w:type="dxa"/>
            <w:vMerge w:val="restart"/>
            <w:shd w:val="clear" w:color="auto" w:fill="DBE5F1" w:themeFill="accent1" w:themeFillTint="33"/>
            <w:vAlign w:val="center"/>
          </w:tcPr>
          <w:p w:rsidR="00F04C64" w:rsidRPr="00F04C64" w:rsidRDefault="00F04C64" w:rsidP="00F04C64">
            <w:pPr>
              <w:jc w:val="center"/>
              <w:rPr>
                <w:b/>
                <w:sz w:val="24"/>
                <w:szCs w:val="24"/>
              </w:rPr>
            </w:pPr>
            <w:r w:rsidRPr="00F04C64">
              <w:rPr>
                <w:b/>
                <w:sz w:val="24"/>
                <w:szCs w:val="24"/>
              </w:rPr>
              <w:t>Activity</w:t>
            </w:r>
          </w:p>
        </w:tc>
        <w:tc>
          <w:tcPr>
            <w:tcW w:w="1656" w:type="dxa"/>
            <w:gridSpan w:val="2"/>
            <w:shd w:val="clear" w:color="auto" w:fill="FFFFFF" w:themeFill="background1"/>
          </w:tcPr>
          <w:p w:rsidR="00F04C64" w:rsidRPr="00F04C64" w:rsidRDefault="00F04C64" w:rsidP="00F04C64">
            <w:pPr>
              <w:jc w:val="center"/>
              <w:rPr>
                <w:b/>
                <w:sz w:val="24"/>
                <w:szCs w:val="24"/>
              </w:rPr>
            </w:pPr>
            <w:r w:rsidRPr="00F04C64">
              <w:rPr>
                <w:b/>
                <w:sz w:val="24"/>
                <w:szCs w:val="24"/>
              </w:rPr>
              <w:t>Part of Formative Assessment</w:t>
            </w:r>
            <w:r>
              <w:rPr>
                <w:b/>
                <w:sz w:val="24"/>
                <w:szCs w:val="24"/>
              </w:rPr>
              <w:t>?</w:t>
            </w:r>
          </w:p>
        </w:tc>
        <w:tc>
          <w:tcPr>
            <w:tcW w:w="5688" w:type="dxa"/>
            <w:vMerge w:val="restart"/>
            <w:shd w:val="clear" w:color="auto" w:fill="DBE5F1" w:themeFill="accent1" w:themeFillTint="33"/>
          </w:tcPr>
          <w:p w:rsidR="00F04C64" w:rsidRDefault="00F04C64" w:rsidP="00F04C64">
            <w:pPr>
              <w:jc w:val="center"/>
              <w:rPr>
                <w:b/>
                <w:sz w:val="24"/>
                <w:szCs w:val="24"/>
              </w:rPr>
            </w:pPr>
            <w:r w:rsidRPr="00F04C64">
              <w:rPr>
                <w:b/>
                <w:sz w:val="24"/>
                <w:szCs w:val="24"/>
              </w:rPr>
              <w:t xml:space="preserve">If Yes, </w:t>
            </w:r>
          </w:p>
          <w:p w:rsidR="00F04C64" w:rsidRPr="00F04C64" w:rsidRDefault="00F04C64" w:rsidP="00F04C64">
            <w:pPr>
              <w:jc w:val="center"/>
              <w:rPr>
                <w:b/>
                <w:sz w:val="24"/>
                <w:szCs w:val="24"/>
              </w:rPr>
            </w:pPr>
            <w:r w:rsidRPr="00F04C64">
              <w:rPr>
                <w:b/>
                <w:sz w:val="24"/>
                <w:szCs w:val="24"/>
              </w:rPr>
              <w:t xml:space="preserve">What Could You Learn </w:t>
            </w:r>
            <w:r>
              <w:rPr>
                <w:b/>
                <w:sz w:val="24"/>
                <w:szCs w:val="24"/>
              </w:rPr>
              <w:t>About a Child From T</w:t>
            </w:r>
            <w:r w:rsidRPr="00F04C64">
              <w:rPr>
                <w:b/>
                <w:sz w:val="24"/>
                <w:szCs w:val="24"/>
              </w:rPr>
              <w:t xml:space="preserve">his </w:t>
            </w:r>
            <w:r>
              <w:rPr>
                <w:b/>
                <w:sz w:val="24"/>
                <w:szCs w:val="24"/>
              </w:rPr>
              <w:t>Aspect of Formative Assessment</w:t>
            </w:r>
            <w:r w:rsidRPr="00F04C64">
              <w:rPr>
                <w:b/>
                <w:sz w:val="24"/>
                <w:szCs w:val="24"/>
              </w:rPr>
              <w:t>?</w:t>
            </w:r>
          </w:p>
        </w:tc>
      </w:tr>
      <w:tr w:rsidR="00F04C64" w:rsidRPr="00F04C64" w:rsidTr="00F04C64">
        <w:trPr>
          <w:trHeight w:val="438"/>
        </w:trPr>
        <w:tc>
          <w:tcPr>
            <w:tcW w:w="3672" w:type="dxa"/>
            <w:vMerge/>
          </w:tcPr>
          <w:p w:rsidR="00F04C64" w:rsidRPr="00F04C64" w:rsidRDefault="00F04C64" w:rsidP="00F04C64">
            <w:pPr>
              <w:jc w:val="center"/>
              <w:rPr>
                <w:b/>
                <w:sz w:val="24"/>
                <w:szCs w:val="24"/>
              </w:rPr>
            </w:pPr>
          </w:p>
        </w:tc>
        <w:tc>
          <w:tcPr>
            <w:tcW w:w="828" w:type="dxa"/>
            <w:shd w:val="clear" w:color="auto" w:fill="DBE5F1" w:themeFill="accent1" w:themeFillTint="33"/>
            <w:vAlign w:val="center"/>
          </w:tcPr>
          <w:p w:rsidR="00F04C64" w:rsidRPr="00F04C64" w:rsidRDefault="00F04C64" w:rsidP="00F04C64">
            <w:pPr>
              <w:jc w:val="center"/>
              <w:rPr>
                <w:b/>
                <w:sz w:val="24"/>
                <w:szCs w:val="24"/>
              </w:rPr>
            </w:pPr>
            <w:r>
              <w:rPr>
                <w:b/>
                <w:sz w:val="24"/>
                <w:szCs w:val="24"/>
              </w:rPr>
              <w:t>YES</w:t>
            </w:r>
          </w:p>
        </w:tc>
        <w:tc>
          <w:tcPr>
            <w:tcW w:w="828" w:type="dxa"/>
            <w:shd w:val="clear" w:color="auto" w:fill="DBE5F1" w:themeFill="accent1" w:themeFillTint="33"/>
            <w:vAlign w:val="center"/>
          </w:tcPr>
          <w:p w:rsidR="00F04C64" w:rsidRPr="00F04C64" w:rsidRDefault="00F04C64" w:rsidP="00F04C64">
            <w:pPr>
              <w:jc w:val="center"/>
              <w:rPr>
                <w:b/>
                <w:sz w:val="24"/>
                <w:szCs w:val="24"/>
              </w:rPr>
            </w:pPr>
            <w:r>
              <w:rPr>
                <w:b/>
                <w:sz w:val="24"/>
                <w:szCs w:val="24"/>
              </w:rPr>
              <w:t>NO</w:t>
            </w:r>
          </w:p>
        </w:tc>
        <w:tc>
          <w:tcPr>
            <w:tcW w:w="5688" w:type="dxa"/>
            <w:vMerge/>
          </w:tcPr>
          <w:p w:rsidR="00F04C64" w:rsidRPr="00F04C64" w:rsidRDefault="00F04C64" w:rsidP="00F04C64">
            <w:pPr>
              <w:jc w:val="center"/>
              <w:rPr>
                <w:b/>
                <w:sz w:val="24"/>
                <w:szCs w:val="24"/>
              </w:rPr>
            </w:pPr>
          </w:p>
        </w:tc>
      </w:tr>
      <w:tr w:rsidR="00F04C64" w:rsidTr="00755889">
        <w:tc>
          <w:tcPr>
            <w:tcW w:w="3672" w:type="dxa"/>
          </w:tcPr>
          <w:p w:rsidR="00F04C64" w:rsidRDefault="00F04C64">
            <w:pPr>
              <w:rPr>
                <w:sz w:val="24"/>
                <w:szCs w:val="24"/>
              </w:rPr>
            </w:pPr>
            <w:r>
              <w:rPr>
                <w:sz w:val="24"/>
                <w:szCs w:val="24"/>
              </w:rPr>
              <w:t>Family-teacher conference</w:t>
            </w:r>
          </w:p>
        </w:tc>
        <w:tc>
          <w:tcPr>
            <w:tcW w:w="828" w:type="dxa"/>
          </w:tcPr>
          <w:p w:rsidR="00F04C64" w:rsidRDefault="00F04C64">
            <w:pPr>
              <w:rPr>
                <w:sz w:val="24"/>
                <w:szCs w:val="24"/>
              </w:rPr>
            </w:pPr>
          </w:p>
        </w:tc>
        <w:tc>
          <w:tcPr>
            <w:tcW w:w="828" w:type="dxa"/>
          </w:tcPr>
          <w:p w:rsidR="00F04C64" w:rsidRDefault="00F04C64">
            <w:pPr>
              <w:rPr>
                <w:sz w:val="24"/>
                <w:szCs w:val="24"/>
              </w:rPr>
            </w:pPr>
          </w:p>
        </w:tc>
        <w:tc>
          <w:tcPr>
            <w:tcW w:w="5688" w:type="dxa"/>
          </w:tcPr>
          <w:p w:rsidR="00F04C64" w:rsidRDefault="00F04C64">
            <w:pPr>
              <w:rPr>
                <w:sz w:val="24"/>
                <w:szCs w:val="24"/>
              </w:rPr>
            </w:pPr>
          </w:p>
        </w:tc>
      </w:tr>
      <w:tr w:rsidR="00F04C64" w:rsidTr="0061620A">
        <w:tc>
          <w:tcPr>
            <w:tcW w:w="3672" w:type="dxa"/>
          </w:tcPr>
          <w:p w:rsidR="00F04C64" w:rsidRDefault="00F04C64">
            <w:pPr>
              <w:rPr>
                <w:sz w:val="24"/>
                <w:szCs w:val="24"/>
              </w:rPr>
            </w:pPr>
            <w:r>
              <w:rPr>
                <w:sz w:val="24"/>
                <w:szCs w:val="24"/>
              </w:rPr>
              <w:t>Watching children eat a snack</w:t>
            </w:r>
          </w:p>
        </w:tc>
        <w:tc>
          <w:tcPr>
            <w:tcW w:w="828" w:type="dxa"/>
          </w:tcPr>
          <w:p w:rsidR="00F04C64" w:rsidRDefault="00F04C64">
            <w:pPr>
              <w:rPr>
                <w:sz w:val="24"/>
                <w:szCs w:val="24"/>
              </w:rPr>
            </w:pPr>
          </w:p>
        </w:tc>
        <w:tc>
          <w:tcPr>
            <w:tcW w:w="828" w:type="dxa"/>
          </w:tcPr>
          <w:p w:rsidR="00F04C64" w:rsidRDefault="00F04C64">
            <w:pPr>
              <w:rPr>
                <w:sz w:val="24"/>
                <w:szCs w:val="24"/>
              </w:rPr>
            </w:pPr>
          </w:p>
        </w:tc>
        <w:tc>
          <w:tcPr>
            <w:tcW w:w="5688" w:type="dxa"/>
          </w:tcPr>
          <w:p w:rsidR="00F04C64" w:rsidRDefault="00F04C64">
            <w:pPr>
              <w:rPr>
                <w:sz w:val="24"/>
                <w:szCs w:val="24"/>
              </w:rPr>
            </w:pPr>
          </w:p>
        </w:tc>
      </w:tr>
      <w:tr w:rsidR="00F04C64" w:rsidTr="007E75C2">
        <w:tc>
          <w:tcPr>
            <w:tcW w:w="3672" w:type="dxa"/>
          </w:tcPr>
          <w:p w:rsidR="00F04C64" w:rsidRDefault="00F04C64">
            <w:pPr>
              <w:rPr>
                <w:sz w:val="24"/>
                <w:szCs w:val="24"/>
              </w:rPr>
            </w:pPr>
            <w:r>
              <w:rPr>
                <w:sz w:val="24"/>
                <w:szCs w:val="24"/>
              </w:rPr>
              <w:t>Putting up a bulletin board</w:t>
            </w:r>
          </w:p>
        </w:tc>
        <w:tc>
          <w:tcPr>
            <w:tcW w:w="828" w:type="dxa"/>
          </w:tcPr>
          <w:p w:rsidR="00F04C64" w:rsidRDefault="00F04C64">
            <w:pPr>
              <w:rPr>
                <w:sz w:val="24"/>
                <w:szCs w:val="24"/>
              </w:rPr>
            </w:pPr>
          </w:p>
        </w:tc>
        <w:tc>
          <w:tcPr>
            <w:tcW w:w="828" w:type="dxa"/>
          </w:tcPr>
          <w:p w:rsidR="00F04C64" w:rsidRDefault="00F04C64">
            <w:pPr>
              <w:rPr>
                <w:sz w:val="24"/>
                <w:szCs w:val="24"/>
              </w:rPr>
            </w:pPr>
          </w:p>
        </w:tc>
        <w:tc>
          <w:tcPr>
            <w:tcW w:w="5688" w:type="dxa"/>
          </w:tcPr>
          <w:p w:rsidR="00F04C64" w:rsidRDefault="00F04C64">
            <w:pPr>
              <w:rPr>
                <w:sz w:val="24"/>
                <w:szCs w:val="24"/>
              </w:rPr>
            </w:pPr>
          </w:p>
        </w:tc>
      </w:tr>
    </w:tbl>
    <w:p w:rsidR="000017A3" w:rsidRDefault="000017A3">
      <w:pPr>
        <w:rPr>
          <w:sz w:val="24"/>
          <w:szCs w:val="24"/>
        </w:rPr>
      </w:pPr>
    </w:p>
    <w:p w:rsidR="00387DA8" w:rsidRDefault="000017A3">
      <w:pPr>
        <w:rPr>
          <w:sz w:val="24"/>
          <w:szCs w:val="24"/>
        </w:rPr>
      </w:pPr>
      <w:proofErr w:type="gramStart"/>
      <w:r w:rsidRPr="000017A3">
        <w:rPr>
          <w:rFonts w:eastAsia="Times New Roman" w:cs="Times New Roman"/>
          <w:b/>
          <w:smallCaps/>
          <w:sz w:val="24"/>
          <w:szCs w:val="30"/>
        </w:rPr>
        <w:t>Personal Philosophy</w:t>
      </w:r>
      <w:r>
        <w:rPr>
          <w:sz w:val="24"/>
          <w:szCs w:val="24"/>
        </w:rPr>
        <w:t>.</w:t>
      </w:r>
      <w:proofErr w:type="gramEnd"/>
      <w:r>
        <w:rPr>
          <w:sz w:val="24"/>
          <w:szCs w:val="24"/>
        </w:rPr>
        <w:t xml:space="preserve"> Students in an Introduction to Early Childhood Education course are often given the assignment of writing their personal philosophy of early childhood education. As part of this assignment, ask students to describe how their personal philosophy incorporates formative assessment. NOTE: Consider asking students to create a personal philosophy in their first early childhood course, </w:t>
      </w:r>
      <w:r w:rsidR="0014075C">
        <w:rPr>
          <w:sz w:val="24"/>
          <w:szCs w:val="24"/>
        </w:rPr>
        <w:t>and then</w:t>
      </w:r>
      <w:r>
        <w:rPr>
          <w:sz w:val="24"/>
          <w:szCs w:val="24"/>
        </w:rPr>
        <w:t xml:space="preserve"> update their personal philosophy in a course at the end of their program, using track changes. This can be an interesting way to see what students have learned over the course of their program.</w:t>
      </w:r>
    </w:p>
    <w:p w:rsidR="00835746" w:rsidRDefault="00835746"/>
    <w:sectPr w:rsidR="00835746" w:rsidSect="007D08A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BC" w:rsidRDefault="00FA5DBC" w:rsidP="00FA5DBC">
      <w:r>
        <w:separator/>
      </w:r>
    </w:p>
  </w:endnote>
  <w:endnote w:type="continuationSeparator" w:id="0">
    <w:p w:rsidR="00FA5DBC" w:rsidRDefault="00FA5DBC" w:rsidP="00FA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BC" w:rsidRDefault="0014075C">
    <w:pPr>
      <w:pStyle w:val="Footer"/>
    </w:pPr>
    <w:r w:rsidRPr="007D08A9">
      <w:rPr>
        <w:noProof/>
      </w:rPr>
      <w:drawing>
        <wp:anchor distT="0" distB="0" distL="114300" distR="114300" simplePos="0" relativeHeight="251661312" behindDoc="1" locked="0" layoutInCell="1" allowOverlap="1" wp14:anchorId="42D62F3E" wp14:editId="2DDF40E1">
          <wp:simplePos x="0" y="0"/>
          <wp:positionH relativeFrom="column">
            <wp:posOffset>5598160</wp:posOffset>
          </wp:positionH>
          <wp:positionV relativeFrom="paragraph">
            <wp:posOffset>88265</wp:posOffset>
          </wp:positionV>
          <wp:extent cx="629920" cy="438150"/>
          <wp:effectExtent l="0" t="0" r="0" b="0"/>
          <wp:wrapThrough wrapText="bothSides">
            <wp:wrapPolygon edited="0">
              <wp:start x="0" y="0"/>
              <wp:lineTo x="0" y="20661"/>
              <wp:lineTo x="20903" y="20661"/>
              <wp:lineTo x="20903" y="0"/>
              <wp:lineTo x="0" y="0"/>
            </wp:wrapPolygon>
          </wp:wrapThrough>
          <wp:docPr id="1026"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sidRPr="00FA5DBC">
      <w:rPr>
        <w:noProof/>
      </w:rPr>
      <w:drawing>
        <wp:anchor distT="0" distB="0" distL="114300" distR="114300" simplePos="0" relativeHeight="251659264" behindDoc="0" locked="0" layoutInCell="1" allowOverlap="1" wp14:anchorId="74AA3AAC" wp14:editId="4199C2E2">
          <wp:simplePos x="0" y="0"/>
          <wp:positionH relativeFrom="column">
            <wp:posOffset>614680</wp:posOffset>
          </wp:positionH>
          <wp:positionV relativeFrom="paragraph">
            <wp:posOffset>128270</wp:posOffset>
          </wp:positionV>
          <wp:extent cx="2586355" cy="40195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6355" cy="4019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D08A9" w:rsidRPr="007D08A9">
      <w:rPr>
        <w:noProof/>
      </w:rPr>
      <mc:AlternateContent>
        <mc:Choice Requires="wps">
          <w:drawing>
            <wp:anchor distT="0" distB="0" distL="114300" distR="114300" simplePos="0" relativeHeight="251662336" behindDoc="0" locked="0" layoutInCell="1" allowOverlap="1" wp14:anchorId="5FE5E559" wp14:editId="119C65F8">
              <wp:simplePos x="0" y="0"/>
              <wp:positionH relativeFrom="column">
                <wp:posOffset>-436880</wp:posOffset>
              </wp:positionH>
              <wp:positionV relativeFrom="paragraph">
                <wp:posOffset>8255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4pt,.65pt" to="57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" strokecolor="#4579b8 [3044]"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BC" w:rsidRDefault="00FA5DBC" w:rsidP="00FA5DBC">
      <w:r>
        <w:separator/>
      </w:r>
    </w:p>
  </w:footnote>
  <w:footnote w:type="continuationSeparator" w:id="0">
    <w:p w:rsidR="00FA5DBC" w:rsidRDefault="00FA5DBC" w:rsidP="00FA5DBC">
      <w:r>
        <w:continuationSeparator/>
      </w:r>
    </w:p>
  </w:footnote>
  <w:footnote w:id="1">
    <w:p w:rsidR="00F04C64" w:rsidRPr="00835746" w:rsidRDefault="00F04C64" w:rsidP="00F04C64">
      <w:pPr>
        <w:rPr>
          <w:rFonts w:eastAsia="Times New Roman" w:cs="Times New Roman"/>
          <w:sz w:val="20"/>
          <w:szCs w:val="30"/>
        </w:rPr>
      </w:pPr>
      <w:r>
        <w:rPr>
          <w:rStyle w:val="FootnoteReference"/>
        </w:rPr>
        <w:footnoteRef/>
      </w:r>
      <w:r>
        <w:t xml:space="preserve"> </w:t>
      </w:r>
      <w:r w:rsidRPr="00835746">
        <w:rPr>
          <w:rFonts w:eastAsia="Times New Roman" w:cs="Times New Roman"/>
          <w:sz w:val="20"/>
          <w:szCs w:val="30"/>
        </w:rPr>
        <w:t xml:space="preserve">NC Curriculum and Assessment Review Committee Working Title, Definition and Criteria for Assessments </w:t>
      </w:r>
    </w:p>
    <w:p w:rsidR="00F04C64" w:rsidRPr="00835746" w:rsidRDefault="00A415FF" w:rsidP="00F04C64">
      <w:pPr>
        <w:pStyle w:val="FootnoteText"/>
        <w:rPr>
          <w:b/>
        </w:rPr>
      </w:pPr>
      <w:hyperlink r:id="rId1" w:history="1">
        <w:r w:rsidR="00F04C64" w:rsidRPr="00835746">
          <w:rPr>
            <w:rStyle w:val="Hyperlink"/>
            <w:b/>
            <w:u w:val="none"/>
          </w:rPr>
          <w:t>http://ncchildcare.nc.gov/pdf_forms/definition_and_criteria_for_formative_assessments.pdf</w:t>
        </w:r>
      </w:hyperlink>
    </w:p>
    <w:p w:rsidR="00F04C64" w:rsidRDefault="00F04C64" w:rsidP="00F04C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BC" w:rsidRDefault="00FA5DBC" w:rsidP="00FA5DBC">
    <w:pPr>
      <w:pStyle w:val="Header"/>
      <w:jc w:val="center"/>
    </w:pPr>
    <w:r w:rsidRPr="00FA5DBC">
      <w:rPr>
        <w:noProof/>
      </w:rPr>
      <w:drawing>
        <wp:inline distT="0" distB="0" distL="0" distR="0" wp14:anchorId="098E6FC5" wp14:editId="3862A12C">
          <wp:extent cx="2423160" cy="709862"/>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09862"/>
                  </a:xfrm>
                  <a:prstGeom prst="rect">
                    <a:avLst/>
                  </a:prstGeom>
                  <a:noFill/>
                  <a:ln w="9525">
                    <a:noFill/>
                    <a:miter lim="800000"/>
                    <a:headEnd/>
                    <a:tailEnd/>
                  </a:ln>
                  <a:effectLst/>
                  <a:extLst/>
                </pic:spPr>
              </pic:pic>
            </a:graphicData>
          </a:graphic>
        </wp:inline>
      </w:drawing>
    </w:r>
  </w:p>
  <w:p w:rsidR="00FA5DBC" w:rsidRDefault="007D08A9" w:rsidP="00FA5DBC">
    <w:pPr>
      <w:pStyle w:val="Header"/>
      <w:jc w:val="center"/>
      <w:rPr>
        <w:b/>
        <w:sz w:val="28"/>
      </w:rPr>
    </w:pPr>
    <w:r w:rsidRPr="007D08A9">
      <w:rPr>
        <w:noProof/>
      </w:rPr>
      <mc:AlternateContent>
        <mc:Choice Requires="wps">
          <w:drawing>
            <wp:anchor distT="0" distB="0" distL="114300" distR="114300" simplePos="0" relativeHeight="251664384" behindDoc="0" locked="0" layoutInCell="1" allowOverlap="1" wp14:anchorId="5AF6E640" wp14:editId="4CEC096E">
              <wp:simplePos x="0" y="0"/>
              <wp:positionH relativeFrom="column">
                <wp:posOffset>-436880</wp:posOffset>
              </wp:positionH>
              <wp:positionV relativeFrom="paragraph">
                <wp:posOffset>205105</wp:posOffset>
              </wp:positionV>
              <wp:extent cx="77419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77419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4pt,16.15pt" to="57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" strokecolor="#4579b8 [3044]" strokeweight="2.25pt"/>
          </w:pict>
        </mc:Fallback>
      </mc:AlternateContent>
    </w:r>
    <w:r w:rsidR="00FA5DBC" w:rsidRPr="00FA5DBC">
      <w:rPr>
        <w:b/>
        <w:sz w:val="28"/>
      </w:rPr>
      <w:t xml:space="preserve">Ideas and </w:t>
    </w:r>
    <w:r w:rsidR="00FA5DBC">
      <w:rPr>
        <w:b/>
        <w:sz w:val="28"/>
      </w:rPr>
      <w:t>S</w:t>
    </w:r>
    <w:r w:rsidR="00FA5DBC" w:rsidRPr="00FA5DBC">
      <w:rPr>
        <w:b/>
        <w:sz w:val="28"/>
      </w:rPr>
      <w:t xml:space="preserve">trategies </w:t>
    </w:r>
    <w:r w:rsidR="00A415FF">
      <w:rPr>
        <w:b/>
        <w:sz w:val="28"/>
      </w:rPr>
      <w:t>for</w:t>
    </w:r>
    <w:r w:rsidR="00FA5DBC" w:rsidRPr="00FA5DBC">
      <w:rPr>
        <w:b/>
        <w:sz w:val="28"/>
      </w:rPr>
      <w:t xml:space="preserve"> </w:t>
    </w:r>
    <w:r w:rsidR="00FA5DBC">
      <w:rPr>
        <w:b/>
        <w:sz w:val="28"/>
      </w:rPr>
      <w:t>I</w:t>
    </w:r>
    <w:r w:rsidR="00FA5DBC" w:rsidRPr="00FA5DBC">
      <w:rPr>
        <w:b/>
        <w:sz w:val="28"/>
      </w:rPr>
      <w:t xml:space="preserve">ncorporating </w:t>
    </w:r>
    <w:r w:rsidR="00835746">
      <w:rPr>
        <w:b/>
        <w:sz w:val="28"/>
      </w:rPr>
      <w:t>Formative Assessment</w:t>
    </w:r>
  </w:p>
  <w:p w:rsidR="00835746" w:rsidRPr="00FA5DBC" w:rsidRDefault="00835746" w:rsidP="00FA5DBC">
    <w:pPr>
      <w:pStyle w:val="Header"/>
      <w:jc w:val="center"/>
      <w:rPr>
        <w:b/>
        <w:sz w:val="28"/>
      </w:rPr>
    </w:pPr>
    <w:proofErr w:type="gramStart"/>
    <w:r>
      <w:rPr>
        <w:b/>
        <w:sz w:val="28"/>
      </w:rPr>
      <w:t>in</w:t>
    </w:r>
    <w:proofErr w:type="gramEnd"/>
    <w:r>
      <w:rPr>
        <w:b/>
        <w:sz w:val="28"/>
      </w:rPr>
      <w:t xml:space="preserve"> </w:t>
    </w:r>
    <w:r w:rsidRPr="00835746">
      <w:rPr>
        <w:b/>
        <w:color w:val="1F497D" w:themeColor="text2"/>
        <w:sz w:val="28"/>
      </w:rPr>
      <w:t>Introduction to Early Childhood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C01"/>
    <w:multiLevelType w:val="hybridMultilevel"/>
    <w:tmpl w:val="0DACB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BC"/>
    <w:rsid w:val="000017A3"/>
    <w:rsid w:val="0014075C"/>
    <w:rsid w:val="002832A3"/>
    <w:rsid w:val="00387DA8"/>
    <w:rsid w:val="007D08A9"/>
    <w:rsid w:val="00835746"/>
    <w:rsid w:val="008E5E03"/>
    <w:rsid w:val="00A415FF"/>
    <w:rsid w:val="00D062AF"/>
    <w:rsid w:val="00F04C64"/>
    <w:rsid w:val="00FA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BC"/>
    <w:pPr>
      <w:tabs>
        <w:tab w:val="center" w:pos="4680"/>
        <w:tab w:val="right" w:pos="9360"/>
      </w:tabs>
    </w:pPr>
  </w:style>
  <w:style w:type="character" w:customStyle="1" w:styleId="HeaderChar">
    <w:name w:val="Header Char"/>
    <w:basedOn w:val="DefaultParagraphFont"/>
    <w:link w:val="Header"/>
    <w:uiPriority w:val="99"/>
    <w:rsid w:val="00FA5DBC"/>
  </w:style>
  <w:style w:type="paragraph" w:styleId="Footer">
    <w:name w:val="footer"/>
    <w:basedOn w:val="Normal"/>
    <w:link w:val="FooterChar"/>
    <w:uiPriority w:val="99"/>
    <w:unhideWhenUsed/>
    <w:rsid w:val="00FA5DBC"/>
    <w:pPr>
      <w:tabs>
        <w:tab w:val="center" w:pos="4680"/>
        <w:tab w:val="right" w:pos="9360"/>
      </w:tabs>
    </w:pPr>
  </w:style>
  <w:style w:type="character" w:customStyle="1" w:styleId="FooterChar">
    <w:name w:val="Footer Char"/>
    <w:basedOn w:val="DefaultParagraphFont"/>
    <w:link w:val="Footer"/>
    <w:uiPriority w:val="99"/>
    <w:rsid w:val="00FA5DBC"/>
  </w:style>
  <w:style w:type="paragraph" w:styleId="NormalWeb">
    <w:name w:val="Normal (Web)"/>
    <w:basedOn w:val="Normal"/>
    <w:uiPriority w:val="99"/>
    <w:semiHidden/>
    <w:unhideWhenUsed/>
    <w:rsid w:val="00FA5DBC"/>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5DBC"/>
    <w:rPr>
      <w:rFonts w:ascii="Tahoma" w:hAnsi="Tahoma" w:cs="Tahoma"/>
      <w:sz w:val="16"/>
      <w:szCs w:val="16"/>
    </w:rPr>
  </w:style>
  <w:style w:type="character" w:customStyle="1" w:styleId="BalloonTextChar">
    <w:name w:val="Balloon Text Char"/>
    <w:basedOn w:val="DefaultParagraphFont"/>
    <w:link w:val="BalloonText"/>
    <w:uiPriority w:val="99"/>
    <w:semiHidden/>
    <w:rsid w:val="00FA5DBC"/>
    <w:rPr>
      <w:rFonts w:ascii="Tahoma" w:hAnsi="Tahoma" w:cs="Tahoma"/>
      <w:sz w:val="16"/>
      <w:szCs w:val="16"/>
    </w:rPr>
  </w:style>
  <w:style w:type="paragraph" w:styleId="ListParagraph">
    <w:name w:val="List Paragraph"/>
    <w:basedOn w:val="Normal"/>
    <w:uiPriority w:val="34"/>
    <w:qFormat/>
    <w:rsid w:val="00835746"/>
    <w:pPr>
      <w:ind w:left="720"/>
      <w:contextualSpacing/>
    </w:pPr>
  </w:style>
  <w:style w:type="paragraph" w:styleId="FootnoteText">
    <w:name w:val="footnote text"/>
    <w:basedOn w:val="Normal"/>
    <w:link w:val="FootnoteTextChar"/>
    <w:uiPriority w:val="99"/>
    <w:semiHidden/>
    <w:unhideWhenUsed/>
    <w:rsid w:val="00835746"/>
    <w:rPr>
      <w:sz w:val="20"/>
      <w:szCs w:val="20"/>
    </w:rPr>
  </w:style>
  <w:style w:type="character" w:customStyle="1" w:styleId="FootnoteTextChar">
    <w:name w:val="Footnote Text Char"/>
    <w:basedOn w:val="DefaultParagraphFont"/>
    <w:link w:val="FootnoteText"/>
    <w:uiPriority w:val="99"/>
    <w:semiHidden/>
    <w:rsid w:val="00835746"/>
    <w:rPr>
      <w:sz w:val="20"/>
      <w:szCs w:val="20"/>
    </w:rPr>
  </w:style>
  <w:style w:type="character" w:styleId="FootnoteReference">
    <w:name w:val="footnote reference"/>
    <w:basedOn w:val="DefaultParagraphFont"/>
    <w:uiPriority w:val="99"/>
    <w:semiHidden/>
    <w:unhideWhenUsed/>
    <w:rsid w:val="00835746"/>
    <w:rPr>
      <w:vertAlign w:val="superscript"/>
    </w:rPr>
  </w:style>
  <w:style w:type="character" w:styleId="Hyperlink">
    <w:name w:val="Hyperlink"/>
    <w:basedOn w:val="DefaultParagraphFont"/>
    <w:uiPriority w:val="99"/>
    <w:unhideWhenUsed/>
    <w:rsid w:val="00835746"/>
    <w:rPr>
      <w:color w:val="0000FF" w:themeColor="hyperlink"/>
      <w:u w:val="single"/>
    </w:rPr>
  </w:style>
  <w:style w:type="table" w:styleId="TableGrid">
    <w:name w:val="Table Grid"/>
    <w:basedOn w:val="TableNormal"/>
    <w:uiPriority w:val="59"/>
    <w:rsid w:val="0000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BC"/>
    <w:pPr>
      <w:tabs>
        <w:tab w:val="center" w:pos="4680"/>
        <w:tab w:val="right" w:pos="9360"/>
      </w:tabs>
    </w:pPr>
  </w:style>
  <w:style w:type="character" w:customStyle="1" w:styleId="HeaderChar">
    <w:name w:val="Header Char"/>
    <w:basedOn w:val="DefaultParagraphFont"/>
    <w:link w:val="Header"/>
    <w:uiPriority w:val="99"/>
    <w:rsid w:val="00FA5DBC"/>
  </w:style>
  <w:style w:type="paragraph" w:styleId="Footer">
    <w:name w:val="footer"/>
    <w:basedOn w:val="Normal"/>
    <w:link w:val="FooterChar"/>
    <w:uiPriority w:val="99"/>
    <w:unhideWhenUsed/>
    <w:rsid w:val="00FA5DBC"/>
    <w:pPr>
      <w:tabs>
        <w:tab w:val="center" w:pos="4680"/>
        <w:tab w:val="right" w:pos="9360"/>
      </w:tabs>
    </w:pPr>
  </w:style>
  <w:style w:type="character" w:customStyle="1" w:styleId="FooterChar">
    <w:name w:val="Footer Char"/>
    <w:basedOn w:val="DefaultParagraphFont"/>
    <w:link w:val="Footer"/>
    <w:uiPriority w:val="99"/>
    <w:rsid w:val="00FA5DBC"/>
  </w:style>
  <w:style w:type="paragraph" w:styleId="NormalWeb">
    <w:name w:val="Normal (Web)"/>
    <w:basedOn w:val="Normal"/>
    <w:uiPriority w:val="99"/>
    <w:semiHidden/>
    <w:unhideWhenUsed/>
    <w:rsid w:val="00FA5DBC"/>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5DBC"/>
    <w:rPr>
      <w:rFonts w:ascii="Tahoma" w:hAnsi="Tahoma" w:cs="Tahoma"/>
      <w:sz w:val="16"/>
      <w:szCs w:val="16"/>
    </w:rPr>
  </w:style>
  <w:style w:type="character" w:customStyle="1" w:styleId="BalloonTextChar">
    <w:name w:val="Balloon Text Char"/>
    <w:basedOn w:val="DefaultParagraphFont"/>
    <w:link w:val="BalloonText"/>
    <w:uiPriority w:val="99"/>
    <w:semiHidden/>
    <w:rsid w:val="00FA5DBC"/>
    <w:rPr>
      <w:rFonts w:ascii="Tahoma" w:hAnsi="Tahoma" w:cs="Tahoma"/>
      <w:sz w:val="16"/>
      <w:szCs w:val="16"/>
    </w:rPr>
  </w:style>
  <w:style w:type="paragraph" w:styleId="ListParagraph">
    <w:name w:val="List Paragraph"/>
    <w:basedOn w:val="Normal"/>
    <w:uiPriority w:val="34"/>
    <w:qFormat/>
    <w:rsid w:val="00835746"/>
    <w:pPr>
      <w:ind w:left="720"/>
      <w:contextualSpacing/>
    </w:pPr>
  </w:style>
  <w:style w:type="paragraph" w:styleId="FootnoteText">
    <w:name w:val="footnote text"/>
    <w:basedOn w:val="Normal"/>
    <w:link w:val="FootnoteTextChar"/>
    <w:uiPriority w:val="99"/>
    <w:semiHidden/>
    <w:unhideWhenUsed/>
    <w:rsid w:val="00835746"/>
    <w:rPr>
      <w:sz w:val="20"/>
      <w:szCs w:val="20"/>
    </w:rPr>
  </w:style>
  <w:style w:type="character" w:customStyle="1" w:styleId="FootnoteTextChar">
    <w:name w:val="Footnote Text Char"/>
    <w:basedOn w:val="DefaultParagraphFont"/>
    <w:link w:val="FootnoteText"/>
    <w:uiPriority w:val="99"/>
    <w:semiHidden/>
    <w:rsid w:val="00835746"/>
    <w:rPr>
      <w:sz w:val="20"/>
      <w:szCs w:val="20"/>
    </w:rPr>
  </w:style>
  <w:style w:type="character" w:styleId="FootnoteReference">
    <w:name w:val="footnote reference"/>
    <w:basedOn w:val="DefaultParagraphFont"/>
    <w:uiPriority w:val="99"/>
    <w:semiHidden/>
    <w:unhideWhenUsed/>
    <w:rsid w:val="00835746"/>
    <w:rPr>
      <w:vertAlign w:val="superscript"/>
    </w:rPr>
  </w:style>
  <w:style w:type="character" w:styleId="Hyperlink">
    <w:name w:val="Hyperlink"/>
    <w:basedOn w:val="DefaultParagraphFont"/>
    <w:uiPriority w:val="99"/>
    <w:unhideWhenUsed/>
    <w:rsid w:val="00835746"/>
    <w:rPr>
      <w:color w:val="0000FF" w:themeColor="hyperlink"/>
      <w:u w:val="single"/>
    </w:rPr>
  </w:style>
  <w:style w:type="table" w:styleId="TableGrid">
    <w:name w:val="Table Grid"/>
    <w:basedOn w:val="TableNormal"/>
    <w:uiPriority w:val="59"/>
    <w:rsid w:val="0000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8560">
      <w:bodyDiv w:val="1"/>
      <w:marLeft w:val="0"/>
      <w:marRight w:val="0"/>
      <w:marTop w:val="0"/>
      <w:marBottom w:val="0"/>
      <w:divBdr>
        <w:top w:val="none" w:sz="0" w:space="0" w:color="auto"/>
        <w:left w:val="none" w:sz="0" w:space="0" w:color="auto"/>
        <w:bottom w:val="none" w:sz="0" w:space="0" w:color="auto"/>
        <w:right w:val="none" w:sz="0" w:space="0" w:color="auto"/>
      </w:divBdr>
      <w:divsChild>
        <w:div w:id="1052316067">
          <w:marLeft w:val="0"/>
          <w:marRight w:val="0"/>
          <w:marTop w:val="0"/>
          <w:marBottom w:val="0"/>
          <w:divBdr>
            <w:top w:val="none" w:sz="0" w:space="0" w:color="auto"/>
            <w:left w:val="none" w:sz="0" w:space="0" w:color="auto"/>
            <w:bottom w:val="none" w:sz="0" w:space="0" w:color="auto"/>
            <w:right w:val="none" w:sz="0" w:space="0" w:color="auto"/>
          </w:divBdr>
        </w:div>
        <w:div w:id="529538718">
          <w:marLeft w:val="0"/>
          <w:marRight w:val="0"/>
          <w:marTop w:val="0"/>
          <w:marBottom w:val="0"/>
          <w:divBdr>
            <w:top w:val="none" w:sz="0" w:space="0" w:color="auto"/>
            <w:left w:val="none" w:sz="0" w:space="0" w:color="auto"/>
            <w:bottom w:val="none" w:sz="0" w:space="0" w:color="auto"/>
            <w:right w:val="none" w:sz="0" w:space="0" w:color="auto"/>
          </w:divBdr>
        </w:div>
        <w:div w:id="70001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eelo.org/wp-content/uploads/2014/04/ceelo_policy_report_formative_assessment.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ncchildcare.nc.gov/pdf_forms/definition_and_criteria_for_formative_assess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00AF-3299-478E-A642-66EA8B39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5</cp:revision>
  <cp:lastPrinted>2015-01-27T17:59:00Z</cp:lastPrinted>
  <dcterms:created xsi:type="dcterms:W3CDTF">2015-01-27T18:00:00Z</dcterms:created>
  <dcterms:modified xsi:type="dcterms:W3CDTF">2015-01-30T12:34:00Z</dcterms:modified>
</cp:coreProperties>
</file>