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092D" w14:textId="77777777" w:rsidR="005C6A7E" w:rsidRDefault="0016469F" w:rsidP="0016469F">
      <w:pPr>
        <w:spacing w:after="0" w:line="240" w:lineRule="auto"/>
      </w:pPr>
      <w:r w:rsidRPr="00F65590">
        <w:t>The</w:t>
      </w:r>
      <w:r w:rsidRPr="00F65590">
        <w:rPr>
          <w:b/>
          <w:smallCaps/>
        </w:rPr>
        <w:t xml:space="preserve"> DEC Recommended Practices For Environments</w:t>
      </w:r>
      <w:r w:rsidRPr="00F65590">
        <w:rPr>
          <w:rStyle w:val="FootnoteReference"/>
          <w:b/>
          <w:smallCaps/>
        </w:rPr>
        <w:footnoteReference w:id="1"/>
      </w:r>
      <w:r w:rsidRPr="00F65590">
        <w:rPr>
          <w:b/>
        </w:rPr>
        <w:t xml:space="preserve"> </w:t>
      </w:r>
      <w:r w:rsidRPr="00F65590">
        <w:t xml:space="preserve">remind us that young children, and particularly those who have or are at risk for developmental delays and disabilities, “learn, play, and engage with adults and peers in a multitude of environments” that include home, school, child care, and community.  </w:t>
      </w:r>
      <w:r w:rsidR="005C6A7E" w:rsidRPr="00F65590">
        <w:t>Environmental practices include the physical environment (e.g., space, equipment, materials), the social environment (e.g., interactions with peers, siblings, and family member</w:t>
      </w:r>
      <w:r w:rsidR="00453813">
        <w:t>s</w:t>
      </w:r>
      <w:r w:rsidR="005C6A7E" w:rsidRPr="00F65590">
        <w:t xml:space="preserve">), and the temporal environment (e.g., the sequence and length of routines and activities). </w:t>
      </w:r>
    </w:p>
    <w:p w14:paraId="6F5EE221" w14:textId="77777777" w:rsidR="0045389F" w:rsidRPr="0045389F" w:rsidRDefault="0045389F" w:rsidP="0016469F">
      <w:pPr>
        <w:spacing w:after="0" w:line="240" w:lineRule="auto"/>
        <w:rPr>
          <w:sz w:val="16"/>
        </w:rPr>
      </w:pPr>
    </w:p>
    <w:p w14:paraId="26160393" w14:textId="77777777" w:rsidR="005C6A7E" w:rsidRPr="00F65590" w:rsidRDefault="005C6A7E" w:rsidP="005C6A7E">
      <w:pPr>
        <w:spacing w:after="0" w:line="240" w:lineRule="auto"/>
        <w:rPr>
          <w:b/>
          <w:sz w:val="20"/>
        </w:rPr>
      </w:pPr>
      <w:r w:rsidRPr="00F65590">
        <w:t>One way of preparing students to understand how to develop environments that support each young child is to help them become familiar with the principles of Universal Design for Learning (UDL)</w:t>
      </w:r>
      <w:r w:rsidRPr="00F65590">
        <w:rPr>
          <w:rStyle w:val="FootnoteReference"/>
        </w:rPr>
        <w:footnoteReference w:id="2"/>
      </w:r>
      <w:r w:rsidRPr="00F65590">
        <w:t xml:space="preserve">, as mentioned in Recommended Practice E2. Here are some resources you could use to build an understanding of what UDL is and how to use it in designing environments for very young children.  </w:t>
      </w:r>
    </w:p>
    <w:p w14:paraId="3593F459" w14:textId="77777777" w:rsidR="00F65590" w:rsidRPr="00F65590" w:rsidRDefault="00F65590" w:rsidP="0045389F">
      <w:pPr>
        <w:pStyle w:val="ListParagraph"/>
        <w:numPr>
          <w:ilvl w:val="0"/>
          <w:numId w:val="3"/>
        </w:numPr>
        <w:spacing w:after="0" w:line="240" w:lineRule="auto"/>
        <w:rPr>
          <w:rFonts w:ascii="Calibri" w:eastAsia="Calibri" w:hAnsi="Calibri" w:cs="Times New Roman"/>
          <w:szCs w:val="24"/>
        </w:rPr>
      </w:pPr>
      <w:r w:rsidRPr="00F65590">
        <w:rPr>
          <w:rFonts w:ascii="Calibri" w:eastAsia="Calibri" w:hAnsi="Calibri" w:cs="Times New Roman"/>
          <w:szCs w:val="24"/>
        </w:rPr>
        <w:t>Building Inclusive Childcare Universal Design for Learning (a free video about a campus-based early childhood program that has incorporated a UDL approach in all classrooms)</w:t>
      </w:r>
    </w:p>
    <w:p w14:paraId="0811BAED" w14:textId="77777777" w:rsidR="00F65590" w:rsidRPr="0045389F" w:rsidRDefault="002144DD" w:rsidP="0045389F">
      <w:pPr>
        <w:spacing w:after="0" w:line="240" w:lineRule="auto"/>
        <w:ind w:firstLine="360"/>
        <w:rPr>
          <w:rFonts w:ascii="Calibri" w:eastAsia="Calibri" w:hAnsi="Calibri" w:cs="Times New Roman"/>
          <w:sz w:val="20"/>
          <w:szCs w:val="20"/>
        </w:rPr>
      </w:pPr>
      <w:hyperlink r:id="rId8" w:history="1">
        <w:r w:rsidR="00F65590" w:rsidRPr="0045389F">
          <w:rPr>
            <w:rFonts w:ascii="Calibri" w:eastAsia="Calibri" w:hAnsi="Calibri" w:cs="Times New Roman"/>
            <w:b/>
            <w:color w:val="0000FF"/>
            <w:sz w:val="20"/>
            <w:szCs w:val="20"/>
          </w:rPr>
          <w:t>http://www.northampton.edu/Early-Childhood-Education/Partnerships/Building-Inclusive-Child-Care.htm</w:t>
        </w:r>
      </w:hyperlink>
    </w:p>
    <w:p w14:paraId="2B3CB93E" w14:textId="7C57B1EC" w:rsidR="00F65590" w:rsidRPr="00EF6DDC" w:rsidRDefault="00F65590" w:rsidP="0045389F">
      <w:pPr>
        <w:pStyle w:val="ListParagraph"/>
        <w:numPr>
          <w:ilvl w:val="0"/>
          <w:numId w:val="3"/>
        </w:numPr>
        <w:spacing w:after="0" w:line="240" w:lineRule="auto"/>
        <w:rPr>
          <w:rFonts w:ascii="Calibri" w:eastAsia="Calibri" w:hAnsi="Calibri" w:cs="Times New Roman"/>
          <w:b/>
          <w:color w:val="0000FF"/>
          <w:sz w:val="20"/>
          <w:szCs w:val="20"/>
        </w:rPr>
      </w:pPr>
      <w:r w:rsidRPr="00F65590">
        <w:rPr>
          <w:rFonts w:ascii="Calibri" w:eastAsia="Calibri" w:hAnsi="Calibri" w:cs="Geometr231HvBT"/>
          <w:color w:val="17365D"/>
          <w:szCs w:val="24"/>
        </w:rPr>
        <w:t xml:space="preserve">Conn-Powers, M., Cross, A.F., Traub, E.K., &amp; </w:t>
      </w:r>
      <w:proofErr w:type="spellStart"/>
      <w:r w:rsidRPr="00F65590">
        <w:rPr>
          <w:rFonts w:ascii="Calibri" w:eastAsia="Calibri" w:hAnsi="Calibri" w:cs="Geometr231HvBT"/>
          <w:color w:val="17365D"/>
          <w:szCs w:val="24"/>
        </w:rPr>
        <w:t>Hutter-Pishgahi</w:t>
      </w:r>
      <w:proofErr w:type="spellEnd"/>
      <w:r w:rsidRPr="00F65590">
        <w:rPr>
          <w:rFonts w:ascii="Calibri" w:eastAsia="Calibri" w:hAnsi="Calibri" w:cs="Geometr231HvBT"/>
          <w:color w:val="17365D"/>
          <w:szCs w:val="24"/>
        </w:rPr>
        <w:t xml:space="preserve">, L. (2006, September). The universal design of early education: </w:t>
      </w:r>
      <w:r w:rsidRPr="00F65590">
        <w:rPr>
          <w:rFonts w:ascii="Calibri" w:eastAsia="Calibri" w:hAnsi="Calibri" w:cs="Geometr415BlkBT"/>
          <w:color w:val="17365D"/>
          <w:szCs w:val="24"/>
        </w:rPr>
        <w:t xml:space="preserve">Moving forward for all children. </w:t>
      </w:r>
      <w:r w:rsidRPr="00F65590">
        <w:rPr>
          <w:rFonts w:ascii="Calibri" w:eastAsia="Calibri" w:hAnsi="Calibri" w:cs="Geometr415BlkBT"/>
          <w:i/>
          <w:color w:val="17365D"/>
          <w:szCs w:val="24"/>
        </w:rPr>
        <w:t>Beyond the Journal: Young Children on the Web</w:t>
      </w:r>
      <w:r w:rsidRPr="00F65590">
        <w:rPr>
          <w:rFonts w:ascii="Calibri" w:eastAsia="Calibri" w:hAnsi="Calibri" w:cs="Geometr415BlkBT"/>
          <w:color w:val="17365D"/>
          <w:szCs w:val="24"/>
        </w:rPr>
        <w:t xml:space="preserve">. </w:t>
      </w:r>
      <w:hyperlink r:id="rId9" w:history="1">
        <w:r w:rsidR="00EF6DDC" w:rsidRPr="00EF6DDC">
          <w:rPr>
            <w:rStyle w:val="Hyperlink"/>
            <w:b/>
          </w:rPr>
          <w:t>https://www.iidc.indiana.edu/styles/iidc/defiles/ECC/ECC_Universal_Design_Early_Education.pdf</w:t>
        </w:r>
      </w:hyperlink>
      <w:r w:rsidR="00EF6DDC" w:rsidRPr="00EF6DDC">
        <w:rPr>
          <w:b/>
        </w:rPr>
        <w:t xml:space="preserve"> </w:t>
      </w:r>
    </w:p>
    <w:p w14:paraId="05172C22" w14:textId="50293DF7" w:rsidR="00F65590" w:rsidRPr="00EF6DDC" w:rsidRDefault="00F65590" w:rsidP="00E31FFC">
      <w:pPr>
        <w:pStyle w:val="ListParagraph"/>
        <w:numPr>
          <w:ilvl w:val="0"/>
          <w:numId w:val="3"/>
        </w:numPr>
        <w:spacing w:after="0" w:line="240" w:lineRule="auto"/>
        <w:rPr>
          <w:b/>
          <w:color w:val="0000FF" w:themeColor="hyperlink"/>
          <w:sz w:val="16"/>
          <w:szCs w:val="20"/>
        </w:rPr>
      </w:pPr>
      <w:r w:rsidRPr="00EF6DDC">
        <w:rPr>
          <w:rFonts w:ascii="Calibri" w:eastAsia="Calibri" w:hAnsi="Calibri" w:cs="Times New Roman"/>
          <w:szCs w:val="24"/>
        </w:rPr>
        <w:t xml:space="preserve">Questions to Consider in UDL Observations in Early Childhood Environments (a set of guiding questions for examining how UDL could be incorporated, including a section on environments) </w:t>
      </w:r>
      <w:hyperlink r:id="rId10" w:history="1">
        <w:r w:rsidR="00EF6DDC" w:rsidRPr="00EF6DDC">
          <w:rPr>
            <w:rStyle w:val="Hyperlink"/>
            <w:b/>
          </w:rPr>
          <w:t>https://www.miracosta.edu/instruction/childdevelopmentcenter/downloads/5.6UDLforPreschoolEnvironments.pdf</w:t>
        </w:r>
      </w:hyperlink>
      <w:r w:rsidR="00EF6DDC">
        <w:t xml:space="preserve"> </w:t>
      </w:r>
    </w:p>
    <w:p w14:paraId="6504B744" w14:textId="77777777" w:rsidR="00F65590" w:rsidRDefault="00F65590" w:rsidP="00F65590">
      <w:pPr>
        <w:spacing w:after="0" w:line="240" w:lineRule="auto"/>
      </w:pPr>
      <w:r w:rsidRPr="00F65590">
        <w:t>Here are some ideas for incorporating an emphasis on UDL in assignments you may be using with your students.</w:t>
      </w:r>
    </w:p>
    <w:p w14:paraId="00F79E46" w14:textId="77777777" w:rsidR="0045389F" w:rsidRPr="00453813" w:rsidRDefault="0045389F" w:rsidP="00F65590">
      <w:pPr>
        <w:spacing w:after="0" w:line="240" w:lineRule="auto"/>
        <w:rPr>
          <w:sz w:val="8"/>
          <w:szCs w:val="8"/>
        </w:rPr>
      </w:pPr>
    </w:p>
    <w:p w14:paraId="367F8C7E" w14:textId="77777777" w:rsidR="00F65590" w:rsidRDefault="00F65590" w:rsidP="0045389F">
      <w:pPr>
        <w:spacing w:after="0" w:line="240" w:lineRule="auto"/>
      </w:pPr>
      <w:r w:rsidRPr="0045389F">
        <w:rPr>
          <w:b/>
          <w:smallCaps/>
        </w:rPr>
        <w:t>Observation</w:t>
      </w:r>
      <w:r w:rsidR="0045389F">
        <w:t>.</w:t>
      </w:r>
      <w:r>
        <w:t xml:space="preserve"> If </w:t>
      </w:r>
      <w:r w:rsidRPr="00F65590">
        <w:t xml:space="preserve">students are required to complete a series of observations in this course, consider adding the following component. Turn the questions about Physical Environment (page 3) from </w:t>
      </w:r>
      <w:r w:rsidRPr="0045389F">
        <w:rPr>
          <w:rFonts w:ascii="Calibri" w:eastAsia="Calibri" w:hAnsi="Calibri" w:cs="Times New Roman"/>
          <w:szCs w:val="24"/>
        </w:rPr>
        <w:t>Questions to Consider in UDL Observations in Early Childhood Environments (</w:t>
      </w:r>
      <w:r w:rsidR="0045389F">
        <w:rPr>
          <w:rFonts w:ascii="Calibri" w:eastAsia="Calibri" w:hAnsi="Calibri" w:cs="Times New Roman"/>
          <w:szCs w:val="24"/>
        </w:rPr>
        <w:t>Resource 3</w:t>
      </w:r>
      <w:r w:rsidRPr="0045389F">
        <w:rPr>
          <w:rFonts w:ascii="Calibri" w:eastAsia="Calibri" w:hAnsi="Calibri" w:cs="Times New Roman"/>
          <w:szCs w:val="24"/>
        </w:rPr>
        <w:t xml:space="preserve"> above) into a checklist</w:t>
      </w:r>
      <w:r w:rsidRPr="00F65590">
        <w:t xml:space="preserve"> </w:t>
      </w:r>
      <w:r>
        <w:t>like the one below.</w:t>
      </w:r>
      <w:r w:rsidR="0045389F">
        <w:t xml:space="preserve"> Ask students to complete the checklist for the setting in which they observe by indicating whether each feature of UDL was observed or not. Ask students to also indicate opportunities that might increase the full participation of each child.</w:t>
      </w:r>
    </w:p>
    <w:p w14:paraId="563D85EE" w14:textId="77777777" w:rsidR="00F65590" w:rsidRPr="0045389F" w:rsidRDefault="00F65590" w:rsidP="00F65590">
      <w:pPr>
        <w:pStyle w:val="ListParagraph"/>
        <w:spacing w:after="0" w:line="240" w:lineRule="auto"/>
        <w:ind w:left="360"/>
        <w:rPr>
          <w:b/>
          <w:smallCaps/>
          <w:sz w:val="16"/>
        </w:rPr>
      </w:pPr>
    </w:p>
    <w:tbl>
      <w:tblPr>
        <w:tblStyle w:val="TableGrid"/>
        <w:tblW w:w="0" w:type="auto"/>
        <w:tblInd w:w="360" w:type="dxa"/>
        <w:tblLook w:val="04A0" w:firstRow="1" w:lastRow="0" w:firstColumn="1" w:lastColumn="0" w:noHBand="0" w:noVBand="1"/>
      </w:tblPr>
      <w:tblGrid>
        <w:gridCol w:w="5058"/>
        <w:gridCol w:w="900"/>
        <w:gridCol w:w="810"/>
        <w:gridCol w:w="3600"/>
      </w:tblGrid>
      <w:tr w:rsidR="0045389F" w:rsidRPr="0045389F" w14:paraId="2712A4D1" w14:textId="77777777" w:rsidTr="0045389F">
        <w:tc>
          <w:tcPr>
            <w:tcW w:w="5058" w:type="dxa"/>
            <w:vMerge w:val="restart"/>
            <w:vAlign w:val="center"/>
          </w:tcPr>
          <w:p w14:paraId="1147DDB2" w14:textId="77777777" w:rsidR="0045389F" w:rsidRPr="0045389F" w:rsidRDefault="0045389F" w:rsidP="0045389F">
            <w:pPr>
              <w:pStyle w:val="ListParagraph"/>
              <w:spacing w:after="0" w:line="240" w:lineRule="auto"/>
              <w:ind w:left="0"/>
              <w:jc w:val="center"/>
              <w:rPr>
                <w:b/>
              </w:rPr>
            </w:pPr>
            <w:r w:rsidRPr="0045389F">
              <w:rPr>
                <w:b/>
              </w:rPr>
              <w:t>Question</w:t>
            </w:r>
          </w:p>
        </w:tc>
        <w:tc>
          <w:tcPr>
            <w:tcW w:w="1710" w:type="dxa"/>
            <w:gridSpan w:val="2"/>
          </w:tcPr>
          <w:p w14:paraId="0D10AE2A" w14:textId="77777777" w:rsidR="0045389F" w:rsidRPr="0045389F" w:rsidRDefault="0045389F" w:rsidP="0045389F">
            <w:pPr>
              <w:pStyle w:val="ListParagraph"/>
              <w:spacing w:after="0" w:line="240" w:lineRule="auto"/>
              <w:ind w:left="0"/>
              <w:jc w:val="center"/>
              <w:rPr>
                <w:b/>
              </w:rPr>
            </w:pPr>
            <w:r w:rsidRPr="0045389F">
              <w:rPr>
                <w:b/>
              </w:rPr>
              <w:t>Observed</w:t>
            </w:r>
          </w:p>
        </w:tc>
        <w:tc>
          <w:tcPr>
            <w:tcW w:w="3600" w:type="dxa"/>
            <w:vMerge w:val="restart"/>
            <w:vAlign w:val="center"/>
          </w:tcPr>
          <w:p w14:paraId="53F63316" w14:textId="77777777" w:rsidR="0045389F" w:rsidRPr="0045389F" w:rsidRDefault="0045389F" w:rsidP="0045389F">
            <w:pPr>
              <w:pStyle w:val="ListParagraph"/>
              <w:spacing w:after="0" w:line="240" w:lineRule="auto"/>
              <w:ind w:left="0"/>
              <w:jc w:val="center"/>
              <w:rPr>
                <w:b/>
              </w:rPr>
            </w:pPr>
            <w:r w:rsidRPr="0045389F">
              <w:rPr>
                <w:b/>
              </w:rPr>
              <w:t>Additional Opportunities</w:t>
            </w:r>
          </w:p>
        </w:tc>
      </w:tr>
      <w:tr w:rsidR="0045389F" w14:paraId="0B9A6B36" w14:textId="77777777" w:rsidTr="0045389F">
        <w:tc>
          <w:tcPr>
            <w:tcW w:w="5058" w:type="dxa"/>
            <w:vMerge/>
          </w:tcPr>
          <w:p w14:paraId="1149A6E4" w14:textId="77777777" w:rsidR="0045389F" w:rsidRDefault="0045389F" w:rsidP="00F65590">
            <w:pPr>
              <w:pStyle w:val="ListParagraph"/>
              <w:spacing w:after="0" w:line="240" w:lineRule="auto"/>
              <w:ind w:left="0"/>
            </w:pPr>
          </w:p>
        </w:tc>
        <w:tc>
          <w:tcPr>
            <w:tcW w:w="900" w:type="dxa"/>
          </w:tcPr>
          <w:p w14:paraId="51943ECF" w14:textId="77777777" w:rsidR="0045389F" w:rsidRPr="0045389F" w:rsidRDefault="0045389F" w:rsidP="0045389F">
            <w:pPr>
              <w:pStyle w:val="ListParagraph"/>
              <w:spacing w:after="0" w:line="240" w:lineRule="auto"/>
              <w:ind w:left="0"/>
              <w:jc w:val="center"/>
              <w:rPr>
                <w:b/>
              </w:rPr>
            </w:pPr>
            <w:r w:rsidRPr="0045389F">
              <w:rPr>
                <w:b/>
              </w:rPr>
              <w:t>Yes</w:t>
            </w:r>
          </w:p>
        </w:tc>
        <w:tc>
          <w:tcPr>
            <w:tcW w:w="810" w:type="dxa"/>
          </w:tcPr>
          <w:p w14:paraId="3F3A7E11" w14:textId="77777777" w:rsidR="0045389F" w:rsidRPr="0045389F" w:rsidRDefault="0045389F" w:rsidP="0045389F">
            <w:pPr>
              <w:pStyle w:val="ListParagraph"/>
              <w:spacing w:after="0" w:line="240" w:lineRule="auto"/>
              <w:ind w:left="0"/>
              <w:jc w:val="center"/>
              <w:rPr>
                <w:b/>
              </w:rPr>
            </w:pPr>
            <w:r w:rsidRPr="0045389F">
              <w:rPr>
                <w:b/>
              </w:rPr>
              <w:t>No</w:t>
            </w:r>
          </w:p>
        </w:tc>
        <w:tc>
          <w:tcPr>
            <w:tcW w:w="3600" w:type="dxa"/>
            <w:vMerge/>
          </w:tcPr>
          <w:p w14:paraId="4203171C" w14:textId="77777777" w:rsidR="0045389F" w:rsidRDefault="0045389F" w:rsidP="00F65590">
            <w:pPr>
              <w:pStyle w:val="ListParagraph"/>
              <w:spacing w:after="0" w:line="240" w:lineRule="auto"/>
              <w:ind w:left="0"/>
            </w:pPr>
          </w:p>
        </w:tc>
      </w:tr>
      <w:tr w:rsidR="0045389F" w14:paraId="1C5C299F" w14:textId="77777777" w:rsidTr="0045389F">
        <w:tc>
          <w:tcPr>
            <w:tcW w:w="5058" w:type="dxa"/>
          </w:tcPr>
          <w:p w14:paraId="3E0FA885" w14:textId="77777777" w:rsidR="0045389F" w:rsidRDefault="0045389F" w:rsidP="0045389F">
            <w:pPr>
              <w:pStyle w:val="ListParagraph"/>
              <w:numPr>
                <w:ilvl w:val="0"/>
                <w:numId w:val="4"/>
              </w:numPr>
              <w:spacing w:after="0" w:line="240" w:lineRule="auto"/>
            </w:pPr>
            <w:r>
              <w:t xml:space="preserve">Does the environment provide for easy, safe, and independent access to activities, spaces, equipment, and materials </w:t>
            </w:r>
            <w:r w:rsidRPr="0045389F">
              <w:rPr>
                <w:i/>
              </w:rPr>
              <w:t>for each child</w:t>
            </w:r>
            <w:r>
              <w:t>?</w:t>
            </w:r>
          </w:p>
        </w:tc>
        <w:tc>
          <w:tcPr>
            <w:tcW w:w="900" w:type="dxa"/>
          </w:tcPr>
          <w:p w14:paraId="79C0CF1A" w14:textId="77777777" w:rsidR="0045389F" w:rsidRDefault="0045389F" w:rsidP="00F65590">
            <w:pPr>
              <w:pStyle w:val="ListParagraph"/>
              <w:spacing w:after="0" w:line="240" w:lineRule="auto"/>
              <w:ind w:left="0"/>
            </w:pPr>
          </w:p>
        </w:tc>
        <w:tc>
          <w:tcPr>
            <w:tcW w:w="810" w:type="dxa"/>
          </w:tcPr>
          <w:p w14:paraId="74D62203" w14:textId="77777777" w:rsidR="0045389F" w:rsidRDefault="0045389F" w:rsidP="00F65590">
            <w:pPr>
              <w:pStyle w:val="ListParagraph"/>
              <w:spacing w:after="0" w:line="240" w:lineRule="auto"/>
              <w:ind w:left="0"/>
            </w:pPr>
          </w:p>
        </w:tc>
        <w:tc>
          <w:tcPr>
            <w:tcW w:w="3600" w:type="dxa"/>
          </w:tcPr>
          <w:p w14:paraId="55E3B9CF" w14:textId="77777777" w:rsidR="0045389F" w:rsidRDefault="0045389F" w:rsidP="00F65590">
            <w:pPr>
              <w:pStyle w:val="ListParagraph"/>
              <w:spacing w:after="0" w:line="240" w:lineRule="auto"/>
              <w:ind w:left="0"/>
            </w:pPr>
          </w:p>
        </w:tc>
      </w:tr>
    </w:tbl>
    <w:p w14:paraId="16B57010" w14:textId="77777777" w:rsidR="00F65590" w:rsidRPr="00F65590" w:rsidRDefault="00F65590" w:rsidP="00F65590">
      <w:pPr>
        <w:pStyle w:val="ListParagraph"/>
        <w:spacing w:after="0" w:line="240" w:lineRule="auto"/>
        <w:ind w:left="360"/>
      </w:pPr>
    </w:p>
    <w:p w14:paraId="4998CB3C" w14:textId="77777777" w:rsidR="00507E36" w:rsidRDefault="0045389F" w:rsidP="0045389F">
      <w:pPr>
        <w:spacing w:after="0" w:line="240" w:lineRule="auto"/>
      </w:pPr>
      <w:r w:rsidRPr="0045389F">
        <w:rPr>
          <w:b/>
          <w:smallCaps/>
        </w:rPr>
        <w:t>Environmental design</w:t>
      </w:r>
      <w:r>
        <w:t xml:space="preserve">. </w:t>
      </w:r>
      <w:r w:rsidR="00DD6470" w:rsidRPr="00F65590">
        <w:t xml:space="preserve">A common assignment in this course </w:t>
      </w:r>
      <w:r>
        <w:t>asks students</w:t>
      </w:r>
      <w:r w:rsidR="00DD6470" w:rsidRPr="00F65590">
        <w:t xml:space="preserve"> to design an environment for a group of very young children. Consider adding </w:t>
      </w:r>
      <w:r>
        <w:t>a requirement to incorporate the principles of UDL into the design</w:t>
      </w:r>
      <w:r w:rsidR="00DD6470" w:rsidRPr="00F65590">
        <w:t>.</w:t>
      </w:r>
    </w:p>
    <w:sectPr w:rsidR="00507E36" w:rsidSect="00705513">
      <w:headerReference w:type="default"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A8E5" w14:textId="77777777" w:rsidR="002144DD" w:rsidRDefault="002144DD" w:rsidP="0016469F">
      <w:pPr>
        <w:spacing w:after="0" w:line="240" w:lineRule="auto"/>
      </w:pPr>
      <w:r>
        <w:separator/>
      </w:r>
    </w:p>
  </w:endnote>
  <w:endnote w:type="continuationSeparator" w:id="0">
    <w:p w14:paraId="37ED3CC7" w14:textId="77777777" w:rsidR="002144DD" w:rsidRDefault="002144DD" w:rsidP="0016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20B0604020202020204"/>
    <w:charset w:val="00"/>
    <w:family w:val="roman"/>
    <w:notTrueType/>
    <w:pitch w:val="default"/>
  </w:font>
  <w:font w:name="Geometr231HvBT">
    <w:panose1 w:val="020B0604020202020204"/>
    <w:charset w:val="00"/>
    <w:family w:val="swiss"/>
    <w:notTrueType/>
    <w:pitch w:val="default"/>
    <w:sig w:usb0="00000003" w:usb1="00000000" w:usb2="00000000" w:usb3="00000000" w:csb0="00000001" w:csb1="00000000"/>
  </w:font>
  <w:font w:name="Geometr415BlkB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D548" w14:textId="77777777" w:rsidR="007F4D8A" w:rsidRDefault="00453813">
    <w:pPr>
      <w:pStyle w:val="Footer"/>
    </w:pPr>
    <w:r w:rsidRPr="00FA5DBC">
      <w:rPr>
        <w:noProof/>
      </w:rPr>
      <w:drawing>
        <wp:anchor distT="0" distB="0" distL="114300" distR="114300" simplePos="0" relativeHeight="251659264" behindDoc="0" locked="0" layoutInCell="1" allowOverlap="1" wp14:anchorId="19BD8AEE" wp14:editId="1787857C">
          <wp:simplePos x="0" y="0"/>
          <wp:positionH relativeFrom="column">
            <wp:posOffset>2893695</wp:posOffset>
          </wp:positionH>
          <wp:positionV relativeFrom="paragraph">
            <wp:posOffset>111760</wp:posOffset>
          </wp:positionV>
          <wp:extent cx="2580640" cy="401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40" cy="4013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A5DBC">
      <w:rPr>
        <w:noProof/>
      </w:rPr>
      <w:drawing>
        <wp:anchor distT="0" distB="0" distL="114300" distR="114300" simplePos="0" relativeHeight="251660288" behindDoc="1" locked="0" layoutInCell="1" allowOverlap="1" wp14:anchorId="4518A24A" wp14:editId="5D16CC38">
          <wp:simplePos x="0" y="0"/>
          <wp:positionH relativeFrom="column">
            <wp:posOffset>6451600</wp:posOffset>
          </wp:positionH>
          <wp:positionV relativeFrom="paragraph">
            <wp:posOffset>109855</wp:posOffset>
          </wp:positionV>
          <wp:extent cx="629920" cy="438150"/>
          <wp:effectExtent l="0" t="0" r="0" b="0"/>
          <wp:wrapThrough wrapText="bothSides">
            <wp:wrapPolygon edited="0">
              <wp:start x="0" y="0"/>
              <wp:lineTo x="0" y="20661"/>
              <wp:lineTo x="20903" y="20661"/>
              <wp:lineTo x="20903" y="0"/>
              <wp:lineTo x="0" y="0"/>
            </wp:wrapPolygon>
          </wp:wrapThrough>
          <wp:docPr id="3"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EA56A4B" wp14:editId="3AEB92F1">
              <wp:simplePos x="0" y="0"/>
              <wp:positionH relativeFrom="column">
                <wp:posOffset>-447040</wp:posOffset>
              </wp:positionH>
              <wp:positionV relativeFrom="paragraph">
                <wp:posOffset>38735</wp:posOffset>
              </wp:positionV>
              <wp:extent cx="7741920" cy="0"/>
              <wp:effectExtent l="0" t="19050" r="11430" b="19050"/>
              <wp:wrapNone/>
              <wp:docPr id="34" name="Straight Connector 34"/>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3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2pt,3.05pt" to="57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" strokecolor="#4a7ebb" strokeweight="2.25pt"/>
          </w:pict>
        </mc:Fallback>
      </mc:AlternateContent>
    </w:r>
    <w:r>
      <w:rPr>
        <w:noProof/>
      </w:rPr>
      <w:drawing>
        <wp:inline distT="0" distB="0" distL="0" distR="0" wp14:anchorId="7A70FD44" wp14:editId="5BB1121D">
          <wp:extent cx="2036269" cy="593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7591" cy="59405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6BD1" w14:textId="77777777" w:rsidR="002144DD" w:rsidRDefault="002144DD" w:rsidP="0016469F">
      <w:pPr>
        <w:spacing w:after="0" w:line="240" w:lineRule="auto"/>
      </w:pPr>
      <w:r>
        <w:separator/>
      </w:r>
    </w:p>
  </w:footnote>
  <w:footnote w:type="continuationSeparator" w:id="0">
    <w:p w14:paraId="717B0285" w14:textId="77777777" w:rsidR="002144DD" w:rsidRDefault="002144DD" w:rsidP="0016469F">
      <w:pPr>
        <w:spacing w:after="0" w:line="240" w:lineRule="auto"/>
      </w:pPr>
      <w:r>
        <w:continuationSeparator/>
      </w:r>
    </w:p>
  </w:footnote>
  <w:footnote w:id="1">
    <w:p w14:paraId="3310B87B" w14:textId="75D84221" w:rsidR="0016469F" w:rsidRPr="00453813" w:rsidRDefault="0016469F" w:rsidP="00EF6DDC">
      <w:pPr>
        <w:spacing w:after="0" w:line="240" w:lineRule="auto"/>
      </w:pPr>
      <w:r>
        <w:rPr>
          <w:rStyle w:val="FootnoteReference"/>
        </w:rPr>
        <w:footnoteRef/>
      </w:r>
      <w:r>
        <w:t xml:space="preserve"> Find the DEC Recommended Practices online at </w:t>
      </w:r>
      <w:hyperlink r:id="rId1" w:history="1">
        <w:r w:rsidR="00EF6DDC">
          <w:rPr>
            <w:rStyle w:val="Hyperlink"/>
          </w:rPr>
          <w:t>https://divisionearlychildhood.egnyte.com/dl/tgv6GUXhVo/</w:t>
        </w:r>
      </w:hyperlink>
      <w:bookmarkStart w:id="0" w:name="_GoBack"/>
      <w:bookmarkEnd w:id="0"/>
    </w:p>
  </w:footnote>
  <w:footnote w:id="2">
    <w:p w14:paraId="23820746" w14:textId="77777777" w:rsidR="005C6A7E" w:rsidRPr="005C6A7E" w:rsidRDefault="005C6A7E" w:rsidP="005C6A7E">
      <w:pPr>
        <w:pStyle w:val="NormalWeb"/>
        <w:spacing w:before="80" w:beforeAutospacing="0" w:after="0" w:afterAutospacing="0"/>
        <w:rPr>
          <w:rFonts w:asciiTheme="minorHAnsi" w:hAnsiTheme="minorHAnsi"/>
          <w:sz w:val="20"/>
          <w:szCs w:val="20"/>
        </w:rPr>
      </w:pPr>
      <w:r>
        <w:rPr>
          <w:rStyle w:val="FootnoteReference"/>
        </w:rPr>
        <w:footnoteRef/>
      </w:r>
      <w:r>
        <w:t xml:space="preserve"> </w:t>
      </w:r>
      <w:r w:rsidRPr="005C6A7E">
        <w:rPr>
          <w:rFonts w:asciiTheme="minorHAnsi" w:hAnsiTheme="minorHAnsi"/>
          <w:sz w:val="20"/>
          <w:szCs w:val="20"/>
        </w:rPr>
        <w:t xml:space="preserve">UDL </w:t>
      </w:r>
      <w:r w:rsidRPr="005C6A7E">
        <w:rPr>
          <w:rFonts w:asciiTheme="minorHAnsi" w:eastAsia="+mn-ea" w:hAnsiTheme="minorHAnsi" w:cs="Calibri"/>
          <w:color w:val="000000"/>
          <w:kern w:val="24"/>
          <w:sz w:val="20"/>
          <w:szCs w:val="20"/>
        </w:rPr>
        <w:t>means the removal of physical and structural barriers (UD) and the provision of multiple and varied formats for instruction and learning (UDL).</w:t>
      </w:r>
    </w:p>
    <w:p w14:paraId="4E5DD1EF" w14:textId="77777777" w:rsidR="005C6A7E" w:rsidRDefault="005C6A7E" w:rsidP="005C6A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522C" w14:textId="77777777" w:rsidR="007F4D8A" w:rsidRDefault="00453813" w:rsidP="00FA5DBC">
    <w:pPr>
      <w:pStyle w:val="Header"/>
      <w:jc w:val="center"/>
    </w:pPr>
    <w:r w:rsidRPr="00CB2ABD">
      <w:rPr>
        <w:b/>
        <w:noProof/>
        <w:sz w:val="28"/>
      </w:rPr>
      <w:drawing>
        <wp:inline distT="0" distB="0" distL="0" distR="0" wp14:anchorId="3DE40EAC" wp14:editId="7113B92B">
          <wp:extent cx="1175507" cy="483474"/>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200" cy="486638"/>
                  </a:xfrm>
                  <a:prstGeom prst="rect">
                    <a:avLst/>
                  </a:prstGeom>
                  <a:noFill/>
                  <a:ln>
                    <a:noFill/>
                  </a:ln>
                  <a:extLst/>
                </pic:spPr>
              </pic:pic>
            </a:graphicData>
          </a:graphic>
        </wp:inline>
      </w:drawing>
    </w:r>
  </w:p>
  <w:p w14:paraId="78862258" w14:textId="77777777" w:rsidR="007F4D8A" w:rsidRDefault="00453813" w:rsidP="000A21C9">
    <w:pPr>
      <w:pStyle w:val="Header"/>
      <w:jc w:val="center"/>
      <w:rPr>
        <w:b/>
        <w:sz w:val="28"/>
      </w:rPr>
    </w:pPr>
    <w:r>
      <w:rPr>
        <w:b/>
        <w:sz w:val="28"/>
      </w:rPr>
      <w:t>Ideas and Strategies for I</w:t>
    </w:r>
    <w:r w:rsidRPr="00FA5DBC">
      <w:rPr>
        <w:b/>
        <w:sz w:val="28"/>
      </w:rPr>
      <w:t xml:space="preserve">ncorporating </w:t>
    </w:r>
    <w:r>
      <w:rPr>
        <w:b/>
        <w:sz w:val="28"/>
      </w:rPr>
      <w:t>the DEC Recommended Practices</w:t>
    </w:r>
  </w:p>
  <w:p w14:paraId="4CE08B4B" w14:textId="77777777" w:rsidR="007F4D8A" w:rsidRDefault="00453813" w:rsidP="000A21C9">
    <w:pPr>
      <w:pStyle w:val="Header"/>
      <w:jc w:val="center"/>
      <w:rPr>
        <w:b/>
        <w:sz w:val="28"/>
      </w:rPr>
    </w:pPr>
    <w:r>
      <w:rPr>
        <w:b/>
        <w:sz w:val="28"/>
      </w:rPr>
      <w:t xml:space="preserve">in </w:t>
    </w:r>
    <w:r w:rsidR="0016469F">
      <w:rPr>
        <w:b/>
        <w:color w:val="1F497D" w:themeColor="text2"/>
        <w:sz w:val="28"/>
      </w:rPr>
      <w:t>Infants, Toddlers, and Twos</w:t>
    </w:r>
  </w:p>
  <w:p w14:paraId="5D4CA9DD" w14:textId="77777777" w:rsidR="007F4D8A" w:rsidRPr="00FA5DBC" w:rsidRDefault="00453813" w:rsidP="00FA5DBC">
    <w:pPr>
      <w:pStyle w:val="Header"/>
      <w:jc w:val="center"/>
      <w:rPr>
        <w:b/>
        <w:sz w:val="28"/>
      </w:rPr>
    </w:pPr>
    <w:r>
      <w:rPr>
        <w:noProof/>
      </w:rPr>
      <mc:AlternateContent>
        <mc:Choice Requires="wps">
          <w:drawing>
            <wp:anchor distT="0" distB="0" distL="114300" distR="114300" simplePos="0" relativeHeight="251662336" behindDoc="0" locked="0" layoutInCell="1" allowOverlap="1" wp14:anchorId="1CB39AEA" wp14:editId="314AB2E3">
              <wp:simplePos x="0" y="0"/>
              <wp:positionH relativeFrom="column">
                <wp:posOffset>-436880</wp:posOffset>
              </wp:positionH>
              <wp:positionV relativeFrom="paragraph">
                <wp:posOffset>65405</wp:posOffset>
              </wp:positionV>
              <wp:extent cx="7741920" cy="0"/>
              <wp:effectExtent l="0" t="19050" r="11430" b="19050"/>
              <wp:wrapNone/>
              <wp:docPr id="35" name="Straight Connector 35"/>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4pt,5.15pt" to="575.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" strokecolor="#4a7ebb"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5B0"/>
    <w:multiLevelType w:val="hybridMultilevel"/>
    <w:tmpl w:val="D2F6C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B0E2A"/>
    <w:multiLevelType w:val="hybridMultilevel"/>
    <w:tmpl w:val="A664B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6607BC"/>
    <w:multiLevelType w:val="hybridMultilevel"/>
    <w:tmpl w:val="F4FC2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2911A2"/>
    <w:multiLevelType w:val="hybridMultilevel"/>
    <w:tmpl w:val="26F4A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69F"/>
    <w:rsid w:val="0016469F"/>
    <w:rsid w:val="002144DD"/>
    <w:rsid w:val="00284F30"/>
    <w:rsid w:val="00453813"/>
    <w:rsid w:val="0045389F"/>
    <w:rsid w:val="005C6A7E"/>
    <w:rsid w:val="00D16A1B"/>
    <w:rsid w:val="00D66380"/>
    <w:rsid w:val="00D7559E"/>
    <w:rsid w:val="00DD6470"/>
    <w:rsid w:val="00EF6DDC"/>
    <w:rsid w:val="00F43789"/>
    <w:rsid w:val="00F6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42C0"/>
  <w15:docId w15:val="{574E7604-3976-7844-85C2-D3577CA0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6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9F"/>
  </w:style>
  <w:style w:type="paragraph" w:styleId="Footer">
    <w:name w:val="footer"/>
    <w:basedOn w:val="Normal"/>
    <w:link w:val="FooterChar"/>
    <w:uiPriority w:val="99"/>
    <w:unhideWhenUsed/>
    <w:rsid w:val="0016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9F"/>
  </w:style>
  <w:style w:type="character" w:styleId="Hyperlink">
    <w:name w:val="Hyperlink"/>
    <w:basedOn w:val="DefaultParagraphFont"/>
    <w:uiPriority w:val="99"/>
    <w:unhideWhenUsed/>
    <w:rsid w:val="0016469F"/>
    <w:rPr>
      <w:color w:val="0000FF" w:themeColor="hyperlink"/>
      <w:u w:val="single"/>
    </w:rPr>
  </w:style>
  <w:style w:type="table" w:styleId="TableGrid">
    <w:name w:val="Table Grid"/>
    <w:basedOn w:val="TableNormal"/>
    <w:uiPriority w:val="59"/>
    <w:rsid w:val="0016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6469F"/>
    <w:rPr>
      <w:vertAlign w:val="superscript"/>
    </w:rPr>
  </w:style>
  <w:style w:type="paragraph" w:styleId="FootnoteText">
    <w:name w:val="footnote text"/>
    <w:basedOn w:val="Normal"/>
    <w:link w:val="FootnoteTextChar"/>
    <w:uiPriority w:val="99"/>
    <w:semiHidden/>
    <w:unhideWhenUsed/>
    <w:rsid w:val="00164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69F"/>
    <w:rPr>
      <w:sz w:val="20"/>
      <w:szCs w:val="20"/>
    </w:rPr>
  </w:style>
  <w:style w:type="paragraph" w:styleId="BalloonText">
    <w:name w:val="Balloon Text"/>
    <w:basedOn w:val="Normal"/>
    <w:link w:val="BalloonTextChar"/>
    <w:uiPriority w:val="99"/>
    <w:semiHidden/>
    <w:unhideWhenUsed/>
    <w:rsid w:val="0016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9F"/>
    <w:rPr>
      <w:rFonts w:ascii="Tahoma" w:hAnsi="Tahoma" w:cs="Tahoma"/>
      <w:sz w:val="16"/>
      <w:szCs w:val="16"/>
    </w:rPr>
  </w:style>
  <w:style w:type="paragraph" w:styleId="ListParagraph">
    <w:name w:val="List Paragraph"/>
    <w:basedOn w:val="Normal"/>
    <w:uiPriority w:val="34"/>
    <w:qFormat/>
    <w:rsid w:val="00DD6470"/>
    <w:pPr>
      <w:ind w:left="720"/>
      <w:contextualSpacing/>
    </w:pPr>
  </w:style>
  <w:style w:type="paragraph" w:styleId="NormalWeb">
    <w:name w:val="Normal (Web)"/>
    <w:basedOn w:val="Normal"/>
    <w:uiPriority w:val="99"/>
    <w:semiHidden/>
    <w:unhideWhenUsed/>
    <w:rsid w:val="005C6A7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F6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9804">
      <w:bodyDiv w:val="1"/>
      <w:marLeft w:val="0"/>
      <w:marRight w:val="0"/>
      <w:marTop w:val="0"/>
      <w:marBottom w:val="0"/>
      <w:divBdr>
        <w:top w:val="none" w:sz="0" w:space="0" w:color="auto"/>
        <w:left w:val="none" w:sz="0" w:space="0" w:color="auto"/>
        <w:bottom w:val="none" w:sz="0" w:space="0" w:color="auto"/>
        <w:right w:val="none" w:sz="0" w:space="0" w:color="auto"/>
      </w:divBdr>
    </w:div>
    <w:div w:id="135683153">
      <w:bodyDiv w:val="1"/>
      <w:marLeft w:val="0"/>
      <w:marRight w:val="0"/>
      <w:marTop w:val="0"/>
      <w:marBottom w:val="0"/>
      <w:divBdr>
        <w:top w:val="none" w:sz="0" w:space="0" w:color="auto"/>
        <w:left w:val="none" w:sz="0" w:space="0" w:color="auto"/>
        <w:bottom w:val="none" w:sz="0" w:space="0" w:color="auto"/>
        <w:right w:val="none" w:sz="0" w:space="0" w:color="auto"/>
      </w:divBdr>
    </w:div>
    <w:div w:id="643855292">
      <w:bodyDiv w:val="1"/>
      <w:marLeft w:val="0"/>
      <w:marRight w:val="0"/>
      <w:marTop w:val="0"/>
      <w:marBottom w:val="0"/>
      <w:divBdr>
        <w:top w:val="none" w:sz="0" w:space="0" w:color="auto"/>
        <w:left w:val="none" w:sz="0" w:space="0" w:color="auto"/>
        <w:bottom w:val="none" w:sz="0" w:space="0" w:color="auto"/>
        <w:right w:val="none" w:sz="0" w:space="0" w:color="auto"/>
      </w:divBdr>
    </w:div>
    <w:div w:id="18082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edu/Early-Childhood-Education/Partnerships/Building-Inclusive-Child-Car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racosta.edu/instruction/childdevelopmentcenter/downloads/5.6UDLforPreschoolEnvironments.pdf" TargetMode="External"/><Relationship Id="rId4" Type="http://schemas.openxmlformats.org/officeDocument/2006/relationships/settings" Target="settings.xml"/><Relationship Id="rId9" Type="http://schemas.openxmlformats.org/officeDocument/2006/relationships/hyperlink" Target="https://www.iidc.indiana.edu/styles/iidc/defiles/ECC/ECC_Universal_Design_Early_Educatio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ivisionearlychildhood.egnyte.com/dl/tgv6GUXh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97A5-E088-7C44-BB10-B6F5289F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Miguel, Toni</cp:lastModifiedBy>
  <cp:revision>2</cp:revision>
  <cp:lastPrinted>2015-04-02T18:11:00Z</cp:lastPrinted>
  <dcterms:created xsi:type="dcterms:W3CDTF">2019-11-05T03:21:00Z</dcterms:created>
  <dcterms:modified xsi:type="dcterms:W3CDTF">2019-11-05T03:21:00Z</dcterms:modified>
</cp:coreProperties>
</file>