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A3" w:rsidRDefault="00B1409C" w:rsidP="00705513">
      <w:pPr>
        <w:spacing w:after="0" w:line="240" w:lineRule="auto"/>
        <w:rPr>
          <w:sz w:val="24"/>
        </w:rPr>
      </w:pPr>
      <w:r w:rsidRPr="000A21C9">
        <w:rPr>
          <w:b/>
          <w:smallCaps/>
          <w:sz w:val="24"/>
        </w:rPr>
        <w:t>Hold a DEC Recommended Practices Scavenger Hunt</w:t>
      </w:r>
      <w:r w:rsidRPr="004147A6">
        <w:rPr>
          <w:b/>
          <w:sz w:val="24"/>
        </w:rPr>
        <w:t xml:space="preserve"> </w:t>
      </w:r>
      <w:r w:rsidRPr="004147A6">
        <w:rPr>
          <w:sz w:val="24"/>
        </w:rPr>
        <w:t xml:space="preserve">to familiarize the students with the 2014 DEC Recommended Practices. Create a list of specific things to hunt for (e.g., definition of instructional practices, a practice for promoting children’s cognitive development, number of themes family practices encompass, etc.). Ask students to identify the page and / or practice number (if applicable) on which that information may be found. </w:t>
      </w:r>
    </w:p>
    <w:p w:rsidR="00705513" w:rsidRPr="00705513" w:rsidRDefault="00705513" w:rsidP="00705513">
      <w:pPr>
        <w:spacing w:after="0" w:line="240" w:lineRule="auto"/>
        <w:rPr>
          <w:sz w:val="16"/>
        </w:rPr>
      </w:pPr>
    </w:p>
    <w:p w:rsidR="00B1409C" w:rsidRDefault="004147A6" w:rsidP="00705513">
      <w:pPr>
        <w:spacing w:after="0" w:line="240" w:lineRule="auto"/>
        <w:rPr>
          <w:sz w:val="24"/>
        </w:rPr>
      </w:pPr>
      <w:r w:rsidRPr="000A21C9">
        <w:rPr>
          <w:b/>
          <w:smallCaps/>
          <w:sz w:val="24"/>
        </w:rPr>
        <w:t>DEC Recommended Practices in Action</w:t>
      </w:r>
      <w:r w:rsidR="007C2FF3" w:rsidRPr="004147A6">
        <w:rPr>
          <w:b/>
          <w:sz w:val="24"/>
        </w:rPr>
        <w:t xml:space="preserve">. </w:t>
      </w:r>
      <w:r w:rsidR="007C2FF3" w:rsidRPr="004147A6">
        <w:rPr>
          <w:sz w:val="24"/>
        </w:rPr>
        <w:t xml:space="preserve">Using </w:t>
      </w:r>
      <w:proofErr w:type="gramStart"/>
      <w:r w:rsidR="007C2FF3" w:rsidRPr="004147A6">
        <w:rPr>
          <w:sz w:val="24"/>
        </w:rPr>
        <w:t>CONNECT</w:t>
      </w:r>
      <w:proofErr w:type="gramEnd"/>
      <w:r w:rsidR="007C2FF3" w:rsidRPr="004147A6">
        <w:rPr>
          <w:sz w:val="24"/>
        </w:rPr>
        <w:t xml:space="preserve"> Modules (</w:t>
      </w:r>
      <w:hyperlink r:id="rId8" w:history="1">
        <w:r w:rsidR="007C2FF3" w:rsidRPr="00705513">
          <w:rPr>
            <w:rStyle w:val="Hyperlink"/>
            <w:b/>
            <w:sz w:val="24"/>
            <w:u w:val="none"/>
          </w:rPr>
          <w:t>http://community.fpg.unc.edu</w:t>
        </w:r>
      </w:hyperlink>
      <w:r w:rsidR="007C2FF3" w:rsidRPr="004147A6">
        <w:rPr>
          <w:sz w:val="24"/>
        </w:rPr>
        <w:t>), ask students to watch the following three videos: Video 1.17: Routine in a program – playing red light green light</w:t>
      </w:r>
      <w:r w:rsidR="00705513">
        <w:rPr>
          <w:sz w:val="24"/>
        </w:rPr>
        <w:t>;</w:t>
      </w:r>
      <w:r w:rsidR="007C2FF3" w:rsidRPr="004147A6">
        <w:rPr>
          <w:sz w:val="24"/>
        </w:rPr>
        <w:t xml:space="preserve"> Video 1.20: Routine in a program – eating lunch</w:t>
      </w:r>
      <w:r w:rsidR="00705513">
        <w:rPr>
          <w:sz w:val="24"/>
        </w:rPr>
        <w:t>;</w:t>
      </w:r>
      <w:r w:rsidR="007C2FF3" w:rsidRPr="004147A6">
        <w:rPr>
          <w:sz w:val="24"/>
        </w:rPr>
        <w:t xml:space="preserve"> and Video 7.18: Washing clothes. As they watch the videos, have them check off the DEC recommended practices that they observe using the checklist below. </w:t>
      </w:r>
      <w:r>
        <w:rPr>
          <w:sz w:val="24"/>
        </w:rPr>
        <w:t>Note that not all the practices in the checklist are observable in the videos</w:t>
      </w:r>
      <w:r w:rsidR="003632D7">
        <w:rPr>
          <w:sz w:val="24"/>
        </w:rPr>
        <w:t xml:space="preserve"> but they may be used as a catalyst for discussion</w:t>
      </w:r>
      <w:r>
        <w:rPr>
          <w:sz w:val="24"/>
        </w:rPr>
        <w:t xml:space="preserve">. </w:t>
      </w:r>
      <w:r w:rsidR="00705513">
        <w:rPr>
          <w:sz w:val="24"/>
        </w:rPr>
        <w:t>For on-</w:t>
      </w:r>
      <w:r w:rsidR="007C2FF3" w:rsidRPr="004147A6">
        <w:rPr>
          <w:sz w:val="24"/>
        </w:rPr>
        <w:t xml:space="preserve">ground courses, </w:t>
      </w:r>
      <w:r>
        <w:rPr>
          <w:sz w:val="24"/>
        </w:rPr>
        <w:t xml:space="preserve">discuss after each video clip. For online courses, facilitate a discussion on the online discussion board. </w:t>
      </w:r>
    </w:p>
    <w:p w:rsidR="00705513" w:rsidRPr="00705513" w:rsidRDefault="00705513" w:rsidP="00705513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1778"/>
        <w:gridCol w:w="1778"/>
        <w:gridCol w:w="1783"/>
      </w:tblGrid>
      <w:tr w:rsidR="000A21C9" w:rsidRPr="000A21C9" w:rsidTr="006E4581">
        <w:tc>
          <w:tcPr>
            <w:tcW w:w="5568" w:type="dxa"/>
            <w:vMerge w:val="restart"/>
            <w:shd w:val="clear" w:color="auto" w:fill="DBE5F1" w:themeFill="accent1" w:themeFillTint="33"/>
            <w:vAlign w:val="center"/>
          </w:tcPr>
          <w:p w:rsidR="000A21C9" w:rsidRPr="000A21C9" w:rsidRDefault="000A21C9" w:rsidP="000A21C9">
            <w:pPr>
              <w:jc w:val="center"/>
              <w:rPr>
                <w:b/>
              </w:rPr>
            </w:pPr>
            <w:r w:rsidRPr="000A21C9">
              <w:rPr>
                <w:b/>
              </w:rPr>
              <w:t>DEC Recommended Practices</w:t>
            </w:r>
            <w:r w:rsidR="00FB6C4B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632" w:type="dxa"/>
            <w:gridSpan w:val="2"/>
            <w:shd w:val="clear" w:color="auto" w:fill="FFFFFF" w:themeFill="background1"/>
            <w:vAlign w:val="center"/>
          </w:tcPr>
          <w:p w:rsidR="000A21C9" w:rsidRPr="000A21C9" w:rsidRDefault="000A21C9" w:rsidP="000A21C9">
            <w:pPr>
              <w:jc w:val="center"/>
              <w:rPr>
                <w:b/>
              </w:rPr>
            </w:pPr>
            <w:r>
              <w:rPr>
                <w:b/>
              </w:rPr>
              <w:t>CONNECT Module 1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0A21C9" w:rsidRPr="000A21C9" w:rsidRDefault="000A21C9" w:rsidP="000A21C9">
            <w:pPr>
              <w:jc w:val="center"/>
              <w:rPr>
                <w:b/>
              </w:rPr>
            </w:pPr>
            <w:r>
              <w:rPr>
                <w:b/>
              </w:rPr>
              <w:t>CONNECT Module 7</w:t>
            </w:r>
          </w:p>
        </w:tc>
      </w:tr>
      <w:tr w:rsidR="000A21C9" w:rsidRPr="000A21C9" w:rsidTr="000A21C9">
        <w:tc>
          <w:tcPr>
            <w:tcW w:w="5568" w:type="dxa"/>
            <w:vMerge/>
            <w:shd w:val="clear" w:color="auto" w:fill="DBE5F1" w:themeFill="accent1" w:themeFillTint="33"/>
            <w:vAlign w:val="center"/>
          </w:tcPr>
          <w:p w:rsidR="000A21C9" w:rsidRPr="000A21C9" w:rsidRDefault="000A21C9" w:rsidP="000A21C9">
            <w:pPr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0A21C9" w:rsidRPr="000A21C9" w:rsidRDefault="000A21C9" w:rsidP="000A21C9">
            <w:pPr>
              <w:jc w:val="center"/>
            </w:pPr>
            <w:r w:rsidRPr="000A21C9">
              <w:t>Video 1.17: Routine in a program – playing red light green light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0A21C9" w:rsidRPr="000A21C9" w:rsidRDefault="000A21C9" w:rsidP="000A21C9">
            <w:pPr>
              <w:jc w:val="center"/>
            </w:pPr>
            <w:r w:rsidRPr="000A21C9">
              <w:t>Video 1.20: Routine in a program – eating lunch</w:t>
            </w:r>
          </w:p>
        </w:tc>
        <w:tc>
          <w:tcPr>
            <w:tcW w:w="1816" w:type="dxa"/>
            <w:shd w:val="clear" w:color="auto" w:fill="DBE5F1" w:themeFill="accent1" w:themeFillTint="33"/>
            <w:vAlign w:val="center"/>
          </w:tcPr>
          <w:p w:rsidR="000A21C9" w:rsidRPr="000A21C9" w:rsidRDefault="000A21C9" w:rsidP="000A21C9">
            <w:pPr>
              <w:jc w:val="center"/>
            </w:pPr>
            <w:r w:rsidRPr="000A21C9">
              <w:t>Video 7.18: Washing clothes</w:t>
            </w:r>
          </w:p>
        </w:tc>
      </w:tr>
      <w:tr w:rsidR="003632D7" w:rsidRPr="004147A6" w:rsidTr="004147A6">
        <w:tc>
          <w:tcPr>
            <w:tcW w:w="5568" w:type="dxa"/>
          </w:tcPr>
          <w:p w:rsidR="003632D7" w:rsidRPr="000A21C9" w:rsidRDefault="003632D7">
            <w:pPr>
              <w:rPr>
                <w:sz w:val="20"/>
              </w:rPr>
            </w:pPr>
            <w:r w:rsidRPr="000A21C9">
              <w:rPr>
                <w:sz w:val="20"/>
              </w:rPr>
              <w:t>INS2. Practitioners, with the family, identify skills to target for instruction that help a child become adaptive, competent, socially connected, and engaged and that promote learning in natural and inclusive environments.</w:t>
            </w:r>
          </w:p>
        </w:tc>
        <w:tc>
          <w:tcPr>
            <w:tcW w:w="1816" w:type="dxa"/>
          </w:tcPr>
          <w:p w:rsidR="003632D7" w:rsidRPr="004147A6" w:rsidRDefault="003632D7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3632D7" w:rsidRPr="004147A6" w:rsidRDefault="003632D7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3632D7" w:rsidRPr="004147A6" w:rsidRDefault="003632D7">
            <w:pPr>
              <w:rPr>
                <w:sz w:val="24"/>
              </w:rPr>
            </w:pPr>
          </w:p>
        </w:tc>
      </w:tr>
      <w:tr w:rsidR="004147A6" w:rsidRPr="004147A6" w:rsidTr="000A21C9">
        <w:tc>
          <w:tcPr>
            <w:tcW w:w="5568" w:type="dxa"/>
            <w:shd w:val="clear" w:color="auto" w:fill="DBE5F1" w:themeFill="accent1" w:themeFillTint="33"/>
          </w:tcPr>
          <w:p w:rsidR="004147A6" w:rsidRPr="000A21C9" w:rsidRDefault="004147A6">
            <w:pPr>
              <w:rPr>
                <w:sz w:val="20"/>
              </w:rPr>
            </w:pPr>
            <w:r w:rsidRPr="000A21C9">
              <w:rPr>
                <w:sz w:val="20"/>
              </w:rPr>
              <w:t>INS3. Practitioners gather and use data to inform decisions about individualized instruction.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</w:tr>
      <w:tr w:rsidR="004147A6" w:rsidRPr="004147A6" w:rsidTr="004147A6">
        <w:tc>
          <w:tcPr>
            <w:tcW w:w="5568" w:type="dxa"/>
          </w:tcPr>
          <w:p w:rsidR="004147A6" w:rsidRPr="000A21C9" w:rsidRDefault="004147A6">
            <w:pPr>
              <w:rPr>
                <w:sz w:val="20"/>
              </w:rPr>
            </w:pPr>
            <w:r w:rsidRPr="000A21C9">
              <w:rPr>
                <w:sz w:val="20"/>
              </w:rPr>
              <w:t>INS4. Practitioners plan for and provide the level of support, accommodations, and adaptations needed for the child to access, participate, and learn within and across activities and routines.</w:t>
            </w: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</w:tr>
      <w:tr w:rsidR="004147A6" w:rsidRPr="004147A6" w:rsidTr="000A21C9">
        <w:tc>
          <w:tcPr>
            <w:tcW w:w="5568" w:type="dxa"/>
            <w:shd w:val="clear" w:color="auto" w:fill="DBE5F1" w:themeFill="accent1" w:themeFillTint="33"/>
          </w:tcPr>
          <w:p w:rsidR="004147A6" w:rsidRPr="000A21C9" w:rsidRDefault="004147A6">
            <w:pPr>
              <w:rPr>
                <w:sz w:val="20"/>
              </w:rPr>
            </w:pPr>
            <w:r w:rsidRPr="000A21C9">
              <w:rPr>
                <w:sz w:val="20"/>
              </w:rPr>
              <w:t>INT3. Practitioners promote the child’s communication development by observing, interpreting, responding contingently, and providing natural consequences for the child's verbal and non-verbal communication and by using language to label and expand on the child’s requests, needs, preferences, or interests.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:rsidR="004147A6" w:rsidRPr="004147A6" w:rsidRDefault="004147A6">
            <w:pPr>
              <w:rPr>
                <w:sz w:val="24"/>
              </w:rPr>
            </w:pPr>
          </w:p>
        </w:tc>
      </w:tr>
      <w:tr w:rsidR="004147A6" w:rsidRPr="004147A6" w:rsidTr="004147A6">
        <w:tc>
          <w:tcPr>
            <w:tcW w:w="5568" w:type="dxa"/>
          </w:tcPr>
          <w:p w:rsidR="004147A6" w:rsidRPr="000A21C9" w:rsidRDefault="004147A6">
            <w:pPr>
              <w:rPr>
                <w:sz w:val="20"/>
              </w:rPr>
            </w:pPr>
            <w:r w:rsidRPr="000A21C9">
              <w:rPr>
                <w:sz w:val="20"/>
              </w:rPr>
              <w:t>INS5. Practitioners embed instruction within and across routines, activities, and environments to provide contextually relevant learning opportunities.</w:t>
            </w: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4147A6" w:rsidRPr="004147A6" w:rsidRDefault="004147A6">
            <w:pPr>
              <w:rPr>
                <w:sz w:val="24"/>
              </w:rPr>
            </w:pPr>
          </w:p>
        </w:tc>
      </w:tr>
    </w:tbl>
    <w:p w:rsidR="00B1409C" w:rsidRPr="00B1409C" w:rsidRDefault="00B1409C"/>
    <w:sectPr w:rsidR="00B1409C" w:rsidRPr="00B1409C" w:rsidSect="00705513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BC" w:rsidRDefault="00FA5DBC" w:rsidP="00FA5DBC">
      <w:pPr>
        <w:spacing w:after="0" w:line="240" w:lineRule="auto"/>
      </w:pPr>
      <w:r>
        <w:separator/>
      </w:r>
    </w:p>
  </w:endnote>
  <w:endnote w:type="continuationSeparator" w:id="0">
    <w:p w:rsidR="00FA5DBC" w:rsidRDefault="00FA5DBC" w:rsidP="00FA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0A21C9">
    <w:pPr>
      <w:pStyle w:val="Footer"/>
    </w:pPr>
    <w:r w:rsidRPr="00FA5DBC">
      <w:rPr>
        <w:noProof/>
      </w:rPr>
      <w:drawing>
        <wp:anchor distT="0" distB="0" distL="114300" distR="114300" simplePos="0" relativeHeight="251659264" behindDoc="0" locked="0" layoutInCell="1" allowOverlap="1" wp14:anchorId="4A3D6ECD" wp14:editId="31D08DC8">
          <wp:simplePos x="0" y="0"/>
          <wp:positionH relativeFrom="column">
            <wp:posOffset>2893695</wp:posOffset>
          </wp:positionH>
          <wp:positionV relativeFrom="paragraph">
            <wp:posOffset>111760</wp:posOffset>
          </wp:positionV>
          <wp:extent cx="2580640" cy="401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D85" w:rsidRPr="00FA5DBC">
      <w:rPr>
        <w:noProof/>
      </w:rPr>
      <w:drawing>
        <wp:anchor distT="0" distB="0" distL="114300" distR="114300" simplePos="0" relativeHeight="251661312" behindDoc="1" locked="0" layoutInCell="1" allowOverlap="1" wp14:anchorId="28DC0D4C" wp14:editId="1CF6D5B5">
          <wp:simplePos x="0" y="0"/>
          <wp:positionH relativeFrom="column">
            <wp:posOffset>6451600</wp:posOffset>
          </wp:positionH>
          <wp:positionV relativeFrom="paragraph">
            <wp:posOffset>109855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1026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D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143F7" wp14:editId="484931F2">
              <wp:simplePos x="0" y="0"/>
              <wp:positionH relativeFrom="column">
                <wp:posOffset>-447040</wp:posOffset>
              </wp:positionH>
              <wp:positionV relativeFrom="paragraph">
                <wp:posOffset>38735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3.05pt" to="57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" strokecolor="#4579b8 [3044]" strokeweight="2.25pt"/>
          </w:pict>
        </mc:Fallback>
      </mc:AlternateContent>
    </w:r>
    <w:r>
      <w:rPr>
        <w:noProof/>
      </w:rPr>
      <w:drawing>
        <wp:inline distT="0" distB="0" distL="0" distR="0" wp14:anchorId="3B0DFB3D" wp14:editId="226C2356">
          <wp:extent cx="2036269" cy="5936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591" cy="59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BC" w:rsidRDefault="00FA5DBC" w:rsidP="00FA5DBC">
      <w:pPr>
        <w:spacing w:after="0" w:line="240" w:lineRule="auto"/>
      </w:pPr>
      <w:r>
        <w:separator/>
      </w:r>
    </w:p>
  </w:footnote>
  <w:footnote w:type="continuationSeparator" w:id="0">
    <w:p w:rsidR="00FA5DBC" w:rsidRDefault="00FA5DBC" w:rsidP="00FA5DBC">
      <w:pPr>
        <w:spacing w:after="0" w:line="240" w:lineRule="auto"/>
      </w:pPr>
      <w:r>
        <w:continuationSeparator/>
      </w:r>
    </w:p>
  </w:footnote>
  <w:footnote w:id="1">
    <w:p w:rsidR="00FB6C4B" w:rsidRPr="00705513" w:rsidRDefault="00FB6C4B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Find the DEC Recommended Practices online at </w:t>
      </w:r>
      <w:hyperlink r:id="rId1" w:history="1">
        <w:r w:rsidRPr="00705513">
          <w:rPr>
            <w:rStyle w:val="Hyperlink"/>
            <w:b/>
            <w:u w:val="none"/>
          </w:rPr>
          <w:t>http://dec.membershipsoftware.org/files/Recommended%20Practices/DEC%202014%20Recommended%20Practices.pdf</w:t>
        </w:r>
      </w:hyperlink>
    </w:p>
    <w:p w:rsidR="00FB6C4B" w:rsidRPr="00705513" w:rsidRDefault="00FB6C4B">
      <w:pPr>
        <w:pStyle w:val="FootnoteText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C" w:rsidRDefault="000A21C9" w:rsidP="00FA5DBC">
    <w:pPr>
      <w:pStyle w:val="Header"/>
      <w:jc w:val="center"/>
    </w:pPr>
    <w:r w:rsidRPr="00CB2ABD">
      <w:rPr>
        <w:b/>
        <w:noProof/>
        <w:sz w:val="28"/>
      </w:rPr>
      <w:drawing>
        <wp:inline distT="0" distB="0" distL="0" distR="0" wp14:anchorId="1EA9EA02" wp14:editId="77830532">
          <wp:extent cx="1175507" cy="483474"/>
          <wp:effectExtent l="0" t="0" r="5715" b="0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00" cy="48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A21C9" w:rsidRDefault="00B1409C" w:rsidP="000A21C9">
    <w:pPr>
      <w:pStyle w:val="Header"/>
      <w:jc w:val="center"/>
      <w:rPr>
        <w:b/>
        <w:sz w:val="28"/>
      </w:rPr>
    </w:pPr>
    <w:r>
      <w:rPr>
        <w:b/>
        <w:sz w:val="28"/>
      </w:rPr>
      <w:t xml:space="preserve">Ideas and Strategies </w:t>
    </w:r>
    <w:r w:rsidR="000A21C9">
      <w:rPr>
        <w:b/>
        <w:sz w:val="28"/>
      </w:rPr>
      <w:t>for</w:t>
    </w:r>
    <w:r>
      <w:rPr>
        <w:b/>
        <w:sz w:val="28"/>
      </w:rPr>
      <w:t xml:space="preserve"> </w:t>
    </w:r>
    <w:r w:rsidR="00FA5DBC">
      <w:rPr>
        <w:b/>
        <w:sz w:val="28"/>
      </w:rPr>
      <w:t>I</w:t>
    </w:r>
    <w:r w:rsidR="00FA5DBC" w:rsidRPr="00FA5DBC">
      <w:rPr>
        <w:b/>
        <w:sz w:val="28"/>
      </w:rPr>
      <w:t xml:space="preserve">ncorporating </w:t>
    </w:r>
    <w:r w:rsidR="000A21C9">
      <w:rPr>
        <w:b/>
        <w:sz w:val="28"/>
      </w:rPr>
      <w:t>the DEC Recommended Practices</w:t>
    </w:r>
  </w:p>
  <w:p w:rsidR="00705513" w:rsidRDefault="00705513" w:rsidP="000A21C9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in</w:t>
    </w:r>
    <w:proofErr w:type="gramEnd"/>
    <w:r>
      <w:rPr>
        <w:b/>
        <w:sz w:val="28"/>
      </w:rPr>
      <w:t xml:space="preserve"> </w:t>
    </w:r>
    <w:r w:rsidRPr="00705513">
      <w:rPr>
        <w:b/>
        <w:color w:val="1F497D" w:themeColor="text2"/>
        <w:sz w:val="28"/>
      </w:rPr>
      <w:t>Introduction to Early Childhood Education</w:t>
    </w:r>
  </w:p>
  <w:p w:rsidR="00610D85" w:rsidRPr="00FA5DBC" w:rsidRDefault="00610D85" w:rsidP="00FA5DBC">
    <w:pPr>
      <w:pStyle w:val="Header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6B5163" wp14:editId="481E3754">
              <wp:simplePos x="0" y="0"/>
              <wp:positionH relativeFrom="column">
                <wp:posOffset>-436880</wp:posOffset>
              </wp:positionH>
              <wp:positionV relativeFrom="paragraph">
                <wp:posOffset>65405</wp:posOffset>
              </wp:positionV>
              <wp:extent cx="7741920" cy="0"/>
              <wp:effectExtent l="0" t="19050" r="1143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5.15pt" to="575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C"/>
    <w:rsid w:val="000A21C9"/>
    <w:rsid w:val="002832A3"/>
    <w:rsid w:val="003632D7"/>
    <w:rsid w:val="004147A6"/>
    <w:rsid w:val="004463F2"/>
    <w:rsid w:val="00610D85"/>
    <w:rsid w:val="006E4581"/>
    <w:rsid w:val="00705513"/>
    <w:rsid w:val="007C2FF3"/>
    <w:rsid w:val="00A55B84"/>
    <w:rsid w:val="00B1409C"/>
    <w:rsid w:val="00CB2ABD"/>
    <w:rsid w:val="00FA5DBC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A21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C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A21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C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fpg.un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c.membershipsoftware.org/files/Recommended%20Practices/DEC%202014%20Recommended%20Practi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E719-2EA5-4A5E-83FA-57E444C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4</cp:revision>
  <cp:lastPrinted>2015-01-27T17:17:00Z</cp:lastPrinted>
  <dcterms:created xsi:type="dcterms:W3CDTF">2015-01-27T15:53:00Z</dcterms:created>
  <dcterms:modified xsi:type="dcterms:W3CDTF">2015-01-27T17:17:00Z</dcterms:modified>
</cp:coreProperties>
</file>